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2E0" w:rsidRPr="008C2490" w:rsidRDefault="000862E0" w:rsidP="000862E0">
      <w:pPr>
        <w:pStyle w:val="Titel"/>
        <w:rPr>
          <w:rFonts w:asciiTheme="minorHAnsi" w:hAnsiTheme="minorHAnsi" w:cstheme="minorHAnsi"/>
          <w:b w:val="0"/>
          <w:sz w:val="24"/>
          <w:szCs w:val="24"/>
        </w:rPr>
      </w:pPr>
      <w:bookmarkStart w:id="0" w:name="_GoBack"/>
      <w:bookmarkEnd w:id="0"/>
      <w:r w:rsidRPr="008C2490">
        <w:rPr>
          <w:rFonts w:asciiTheme="minorHAnsi" w:hAnsiTheme="minorHAnsi" w:cstheme="minorHAnsi"/>
          <w:sz w:val="24"/>
          <w:szCs w:val="24"/>
        </w:rPr>
        <w:t xml:space="preserve">Anlage 1: Durchführung und Bewertung </w:t>
      </w:r>
      <w:proofErr w:type="spellStart"/>
      <w:r w:rsidRPr="008C2490">
        <w:rPr>
          <w:rFonts w:asciiTheme="minorHAnsi" w:hAnsiTheme="minorHAnsi" w:cstheme="minorHAnsi"/>
          <w:sz w:val="24"/>
          <w:szCs w:val="24"/>
        </w:rPr>
        <w:t>Prozessassessment</w:t>
      </w:r>
      <w:proofErr w:type="spellEnd"/>
    </w:p>
    <w:p w:rsidR="000862E0" w:rsidRPr="008C2490" w:rsidRDefault="000862E0" w:rsidP="000862E0">
      <w:pPr>
        <w:pStyle w:val="berschrift1"/>
        <w:keepNext/>
        <w:numPr>
          <w:ilvl w:val="0"/>
          <w:numId w:val="37"/>
        </w:numPr>
        <w:tabs>
          <w:tab w:val="clear" w:pos="360"/>
          <w:tab w:val="left" w:pos="540"/>
          <w:tab w:val="left" w:pos="567"/>
        </w:tabs>
        <w:spacing w:before="360" w:after="0"/>
        <w:rPr>
          <w:rFonts w:cstheme="minorHAnsi"/>
          <w:sz w:val="24"/>
        </w:rPr>
      </w:pPr>
      <w:bookmarkStart w:id="1" w:name="_Toc213213481"/>
      <w:bookmarkEnd w:id="1"/>
      <w:proofErr w:type="spellStart"/>
      <w:r w:rsidRPr="008C2490">
        <w:rPr>
          <w:rFonts w:cstheme="minorHAnsi"/>
          <w:sz w:val="24"/>
        </w:rPr>
        <w:t>Zweck</w:t>
      </w:r>
      <w:proofErr w:type="spellEnd"/>
    </w:p>
    <w:p w:rsidR="000862E0" w:rsidRPr="000862E0" w:rsidRDefault="000862E0" w:rsidP="000862E0">
      <w:pPr>
        <w:pStyle w:val="StandardBlock"/>
        <w:rPr>
          <w:rFonts w:asciiTheme="minorHAnsi" w:hAnsiTheme="minorHAnsi" w:cstheme="minorHAnsi"/>
        </w:rPr>
      </w:pPr>
      <w:r w:rsidRPr="000862E0">
        <w:rPr>
          <w:rFonts w:asciiTheme="minorHAnsi" w:hAnsiTheme="minorHAnsi" w:cstheme="minorHAnsi"/>
        </w:rPr>
        <w:t xml:space="preserve">Diese Anlage zur </w:t>
      </w:r>
      <w:r w:rsidRPr="000862E0">
        <w:rPr>
          <w:rFonts w:asciiTheme="minorHAnsi" w:hAnsiTheme="minorHAnsi" w:cstheme="minorHAnsi"/>
          <w:i/>
        </w:rPr>
        <w:t>Qualitätssicherungsvereinbarung mit Softwarelieferanten</w:t>
      </w:r>
      <w:r w:rsidRPr="000862E0">
        <w:rPr>
          <w:rFonts w:asciiTheme="minorHAnsi" w:hAnsiTheme="minorHAnsi" w:cstheme="minorHAnsi"/>
        </w:rPr>
        <w:t xml:space="preserve"> beschreibt die Durchführung eines </w:t>
      </w:r>
      <w:proofErr w:type="spellStart"/>
      <w:r w:rsidRPr="000862E0">
        <w:rPr>
          <w:rFonts w:asciiTheme="minorHAnsi" w:hAnsiTheme="minorHAnsi" w:cstheme="minorHAnsi"/>
        </w:rPr>
        <w:t>Prozessassessments</w:t>
      </w:r>
      <w:proofErr w:type="spellEnd"/>
      <w:r w:rsidRPr="000862E0">
        <w:rPr>
          <w:rFonts w:asciiTheme="minorHAnsi" w:hAnsiTheme="minorHAnsi" w:cstheme="minorHAnsi"/>
        </w:rPr>
        <w:t xml:space="preserve"> inkl. Prozessbewertung und der sich daraus ergebenden Lieferanteneinstufung.</w:t>
      </w:r>
    </w:p>
    <w:p w:rsidR="000862E0" w:rsidRPr="008C2490" w:rsidRDefault="000862E0" w:rsidP="000862E0">
      <w:pPr>
        <w:pStyle w:val="berschrift1"/>
        <w:keepNext/>
        <w:numPr>
          <w:ilvl w:val="0"/>
          <w:numId w:val="37"/>
        </w:numPr>
        <w:tabs>
          <w:tab w:val="left" w:pos="567"/>
        </w:tabs>
        <w:spacing w:before="360" w:after="240"/>
        <w:rPr>
          <w:rFonts w:cstheme="minorHAnsi"/>
          <w:sz w:val="24"/>
        </w:rPr>
      </w:pPr>
      <w:proofErr w:type="spellStart"/>
      <w:r w:rsidRPr="008C2490">
        <w:rPr>
          <w:rFonts w:cstheme="minorHAnsi"/>
          <w:sz w:val="24"/>
        </w:rPr>
        <w:t>Bewertung</w:t>
      </w:r>
      <w:proofErr w:type="spellEnd"/>
    </w:p>
    <w:p w:rsidR="000862E0" w:rsidRPr="000862E0" w:rsidRDefault="000862E0" w:rsidP="000862E0">
      <w:pPr>
        <w:pStyle w:val="StandardBlock"/>
        <w:rPr>
          <w:rFonts w:asciiTheme="minorHAnsi" w:hAnsiTheme="minorHAnsi" w:cstheme="minorHAnsi"/>
        </w:rPr>
      </w:pPr>
      <w:r w:rsidRPr="000862E0">
        <w:rPr>
          <w:rFonts w:asciiTheme="minorHAnsi" w:hAnsiTheme="minorHAnsi" w:cstheme="minorHAnsi"/>
        </w:rPr>
        <w:t>Die Ermittlung des Reifegrades eines einzelnen Prozesses erfolgt durch die Bewertung der Prozessattribute (PAs), die wiederum auf die Bewertung der Basispraktiken und der Generischen Praktiken zurückzuführen ist. Diese Bewertung der Basispraktiken und der Generischen Praktiken erfolgt jeweils anhand eines Wertes der folgenden Tabelle:</w:t>
      </w:r>
    </w:p>
    <w:p w:rsidR="000862E0" w:rsidRPr="000862E0" w:rsidRDefault="000862E0" w:rsidP="000862E0">
      <w:pPr>
        <w:pStyle w:val="StandardBlock"/>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693"/>
        <w:gridCol w:w="6615"/>
      </w:tblGrid>
      <w:tr w:rsidR="000862E0" w:rsidRPr="004E2B36" w:rsidTr="00DD1BA8">
        <w:tc>
          <w:tcPr>
            <w:tcW w:w="1276" w:type="dxa"/>
            <w:shd w:val="clear" w:color="auto" w:fill="BFBFBF" w:themeFill="background1" w:themeFillShade="BF"/>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 xml:space="preserve">Einstufung </w:t>
            </w:r>
          </w:p>
        </w:tc>
        <w:tc>
          <w:tcPr>
            <w:tcW w:w="1701" w:type="dxa"/>
            <w:shd w:val="clear" w:color="auto" w:fill="BFBFBF" w:themeFill="background1" w:themeFillShade="BF"/>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 xml:space="preserve">Erfüllungsgrad </w:t>
            </w:r>
          </w:p>
        </w:tc>
        <w:tc>
          <w:tcPr>
            <w:tcW w:w="6664" w:type="dxa"/>
            <w:shd w:val="clear" w:color="auto" w:fill="BFBFBF" w:themeFill="background1" w:themeFillShade="BF"/>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Bewertung der Erfüllung von Forderungen</w:t>
            </w:r>
          </w:p>
        </w:tc>
      </w:tr>
      <w:tr w:rsidR="000862E0" w:rsidRPr="004E2B36" w:rsidTr="00DD1BA8">
        <w:tc>
          <w:tcPr>
            <w:tcW w:w="1276"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F</w:t>
            </w:r>
          </w:p>
        </w:tc>
        <w:tc>
          <w:tcPr>
            <w:tcW w:w="1701"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86 % - 100 %</w:t>
            </w:r>
          </w:p>
        </w:tc>
        <w:tc>
          <w:tcPr>
            <w:tcW w:w="6664"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Forderungen voll erfüllt; geringfügige Abweichungen</w:t>
            </w:r>
          </w:p>
        </w:tc>
      </w:tr>
      <w:tr w:rsidR="000862E0" w:rsidRPr="004E2B36" w:rsidTr="00DD1BA8">
        <w:tc>
          <w:tcPr>
            <w:tcW w:w="1276"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L</w:t>
            </w:r>
          </w:p>
        </w:tc>
        <w:tc>
          <w:tcPr>
            <w:tcW w:w="1701"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51 % - 85 %</w:t>
            </w:r>
          </w:p>
        </w:tc>
        <w:tc>
          <w:tcPr>
            <w:tcW w:w="6664"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Forderungen überwiegend erfüllt; größere Abweichungen</w:t>
            </w:r>
          </w:p>
        </w:tc>
      </w:tr>
      <w:tr w:rsidR="000862E0" w:rsidRPr="004E2B36" w:rsidTr="00DD1BA8">
        <w:tc>
          <w:tcPr>
            <w:tcW w:w="1276"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w:t>
            </w:r>
          </w:p>
        </w:tc>
        <w:tc>
          <w:tcPr>
            <w:tcW w:w="1701"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16 % - 50 %</w:t>
            </w:r>
          </w:p>
        </w:tc>
        <w:tc>
          <w:tcPr>
            <w:tcW w:w="6664"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Forderungen teilweise erfüllt, schwerwiegende Abweichungen</w:t>
            </w:r>
          </w:p>
        </w:tc>
      </w:tr>
      <w:tr w:rsidR="000862E0" w:rsidRPr="000862E0" w:rsidTr="00DD1BA8">
        <w:tc>
          <w:tcPr>
            <w:tcW w:w="1276"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N</w:t>
            </w:r>
          </w:p>
        </w:tc>
        <w:tc>
          <w:tcPr>
            <w:tcW w:w="1701"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0 % - 15 %</w:t>
            </w:r>
          </w:p>
        </w:tc>
        <w:tc>
          <w:tcPr>
            <w:tcW w:w="6664"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Forderungen nicht erfüllt</w:t>
            </w:r>
          </w:p>
        </w:tc>
      </w:tr>
    </w:tbl>
    <w:p w:rsidR="000862E0" w:rsidRPr="000862E0" w:rsidRDefault="000862E0" w:rsidP="000862E0">
      <w:pPr>
        <w:rPr>
          <w:rFonts w:cstheme="minorHAnsi"/>
        </w:rPr>
      </w:pPr>
    </w:p>
    <w:p w:rsidR="000862E0" w:rsidRPr="000862E0" w:rsidRDefault="000862E0" w:rsidP="000862E0">
      <w:pPr>
        <w:jc w:val="both"/>
        <w:rPr>
          <w:rFonts w:cstheme="minorHAnsi"/>
        </w:rPr>
      </w:pPr>
    </w:p>
    <w:p w:rsidR="000862E0" w:rsidRPr="000862E0" w:rsidRDefault="000862E0" w:rsidP="000862E0">
      <w:pPr>
        <w:jc w:val="both"/>
        <w:rPr>
          <w:rFonts w:eastAsia="Times New Roman" w:cstheme="minorHAnsi"/>
          <w:color w:val="auto"/>
          <w:sz w:val="22"/>
          <w:szCs w:val="20"/>
          <w:lang w:val="de-DE" w:eastAsia="de-DE"/>
        </w:rPr>
      </w:pPr>
      <w:r w:rsidRPr="000862E0">
        <w:rPr>
          <w:rFonts w:eastAsia="Times New Roman" w:cstheme="minorHAnsi"/>
          <w:color w:val="auto"/>
          <w:sz w:val="22"/>
          <w:szCs w:val="20"/>
          <w:lang w:val="de-DE" w:eastAsia="de-DE"/>
        </w:rPr>
        <w:t xml:space="preserve">Aus den Einstufungen der Prozessattribute (PAs) berechnet sich anhand der folgenden </w:t>
      </w:r>
      <w:proofErr w:type="gramStart"/>
      <w:r w:rsidRPr="000862E0">
        <w:rPr>
          <w:rFonts w:eastAsia="Times New Roman" w:cstheme="minorHAnsi"/>
          <w:color w:val="auto"/>
          <w:sz w:val="22"/>
          <w:szCs w:val="20"/>
          <w:lang w:val="de-DE" w:eastAsia="de-DE"/>
        </w:rPr>
        <w:t>Tabelle  der</w:t>
      </w:r>
      <w:proofErr w:type="gramEnd"/>
      <w:r w:rsidRPr="000862E0">
        <w:rPr>
          <w:rFonts w:eastAsia="Times New Roman" w:cstheme="minorHAnsi"/>
          <w:color w:val="auto"/>
          <w:sz w:val="22"/>
          <w:szCs w:val="20"/>
          <w:lang w:val="de-DE" w:eastAsia="de-DE"/>
        </w:rPr>
        <w:t xml:space="preserve"> Prozessreifegrad jedes einzelnen, untersuchten Prozesses: </w:t>
      </w:r>
    </w:p>
    <w:p w:rsidR="000862E0" w:rsidRPr="000862E0" w:rsidRDefault="000862E0" w:rsidP="000862E0">
      <w:pPr>
        <w:jc w:val="both"/>
        <w:rPr>
          <w:rFonts w:cstheme="minorHAnsi"/>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83"/>
        <w:gridCol w:w="6266"/>
      </w:tblGrid>
      <w:tr w:rsidR="000862E0" w:rsidRPr="000862E0" w:rsidTr="00DD1BA8">
        <w:tc>
          <w:tcPr>
            <w:tcW w:w="1647" w:type="dxa"/>
            <w:shd w:val="clear" w:color="auto" w:fill="BFBFBF" w:themeFill="background1" w:themeFillShade="BF"/>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 xml:space="preserve">Reifegradstufe </w:t>
            </w:r>
          </w:p>
        </w:tc>
        <w:tc>
          <w:tcPr>
            <w:tcW w:w="1700" w:type="dxa"/>
            <w:shd w:val="clear" w:color="auto" w:fill="BFBFBF" w:themeFill="background1" w:themeFillShade="BF"/>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Prozessattribut</w:t>
            </w:r>
          </w:p>
        </w:tc>
        <w:tc>
          <w:tcPr>
            <w:tcW w:w="6370" w:type="dxa"/>
            <w:shd w:val="clear" w:color="auto" w:fill="BFBFBF" w:themeFill="background1" w:themeFillShade="BF"/>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Bewertung</w:t>
            </w:r>
          </w:p>
        </w:tc>
      </w:tr>
      <w:tr w:rsidR="000862E0" w:rsidRPr="004E2B36" w:rsidTr="00DD1BA8">
        <w:tc>
          <w:tcPr>
            <w:tcW w:w="1647"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Level 1</w:t>
            </w: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1.1</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überwiegend (L) oder vollständig erfüllt (F)</w:t>
            </w:r>
          </w:p>
        </w:tc>
      </w:tr>
      <w:tr w:rsidR="000862E0" w:rsidRPr="000862E0" w:rsidTr="00DD1BA8">
        <w:tc>
          <w:tcPr>
            <w:tcW w:w="1647" w:type="dxa"/>
            <w:vMerge w:val="restart"/>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Level 2</w:t>
            </w: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1.1</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vollständig erfüllt (F)</w:t>
            </w:r>
          </w:p>
        </w:tc>
      </w:tr>
      <w:tr w:rsidR="000862E0" w:rsidRPr="004E2B36" w:rsidTr="00DD1BA8">
        <w:tc>
          <w:tcPr>
            <w:tcW w:w="1647" w:type="dxa"/>
            <w:vMerge/>
          </w:tcPr>
          <w:p w:rsidR="000862E0" w:rsidRPr="000862E0" w:rsidRDefault="000862E0" w:rsidP="00DD1BA8">
            <w:pPr>
              <w:pStyle w:val="StandardBlock"/>
              <w:rPr>
                <w:rFonts w:asciiTheme="minorHAnsi" w:hAnsiTheme="minorHAnsi" w:cstheme="minorHAnsi"/>
              </w:rPr>
            </w:pP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2.1</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überwiegend (L) oder vollständig erfüllt (F)</w:t>
            </w:r>
          </w:p>
        </w:tc>
      </w:tr>
      <w:tr w:rsidR="000862E0" w:rsidRPr="004E2B36" w:rsidTr="00DD1BA8">
        <w:tc>
          <w:tcPr>
            <w:tcW w:w="1647" w:type="dxa"/>
            <w:vMerge/>
          </w:tcPr>
          <w:p w:rsidR="000862E0" w:rsidRPr="000862E0" w:rsidRDefault="000862E0" w:rsidP="00DD1BA8">
            <w:pPr>
              <w:pStyle w:val="StandardBlock"/>
              <w:rPr>
                <w:rFonts w:asciiTheme="minorHAnsi" w:hAnsiTheme="minorHAnsi" w:cstheme="minorHAnsi"/>
              </w:rPr>
            </w:pP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2.2</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überwiegend (L) oder vollständig erfüllt (F)</w:t>
            </w:r>
          </w:p>
        </w:tc>
      </w:tr>
      <w:tr w:rsidR="000862E0" w:rsidRPr="000862E0" w:rsidTr="00DD1BA8">
        <w:tc>
          <w:tcPr>
            <w:tcW w:w="1647" w:type="dxa"/>
            <w:vMerge w:val="restart"/>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Level 3</w:t>
            </w: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1.1</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vollständig erfüllt (F)</w:t>
            </w:r>
          </w:p>
        </w:tc>
      </w:tr>
      <w:tr w:rsidR="000862E0" w:rsidRPr="000862E0" w:rsidTr="00DD1BA8">
        <w:tc>
          <w:tcPr>
            <w:tcW w:w="1647" w:type="dxa"/>
            <w:vMerge/>
          </w:tcPr>
          <w:p w:rsidR="000862E0" w:rsidRPr="000862E0" w:rsidRDefault="000862E0" w:rsidP="00DD1BA8">
            <w:pPr>
              <w:pStyle w:val="StandardBlock"/>
              <w:rPr>
                <w:rFonts w:asciiTheme="minorHAnsi" w:hAnsiTheme="minorHAnsi" w:cstheme="minorHAnsi"/>
              </w:rPr>
            </w:pP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2.1</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vollständig erfüllt (F)</w:t>
            </w:r>
          </w:p>
        </w:tc>
      </w:tr>
      <w:tr w:rsidR="000862E0" w:rsidRPr="000862E0" w:rsidTr="00DD1BA8">
        <w:tc>
          <w:tcPr>
            <w:tcW w:w="1647" w:type="dxa"/>
            <w:vMerge/>
          </w:tcPr>
          <w:p w:rsidR="000862E0" w:rsidRPr="000862E0" w:rsidRDefault="000862E0" w:rsidP="00DD1BA8">
            <w:pPr>
              <w:pStyle w:val="StandardBlock"/>
              <w:rPr>
                <w:rFonts w:asciiTheme="minorHAnsi" w:hAnsiTheme="minorHAnsi" w:cstheme="minorHAnsi"/>
              </w:rPr>
            </w:pP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2.2</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vollständig erfüllt (F)</w:t>
            </w:r>
          </w:p>
        </w:tc>
      </w:tr>
      <w:tr w:rsidR="000862E0" w:rsidRPr="004E2B36" w:rsidTr="00DD1BA8">
        <w:tc>
          <w:tcPr>
            <w:tcW w:w="1647" w:type="dxa"/>
            <w:vMerge/>
          </w:tcPr>
          <w:p w:rsidR="000862E0" w:rsidRPr="000862E0" w:rsidRDefault="000862E0" w:rsidP="00DD1BA8">
            <w:pPr>
              <w:pStyle w:val="StandardBlock"/>
              <w:rPr>
                <w:rFonts w:asciiTheme="minorHAnsi" w:hAnsiTheme="minorHAnsi" w:cstheme="minorHAnsi"/>
              </w:rPr>
            </w:pP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3.1</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überwiegend (L) oder vollständig erfüllt (F)</w:t>
            </w:r>
          </w:p>
        </w:tc>
      </w:tr>
      <w:tr w:rsidR="000862E0" w:rsidRPr="004E2B36" w:rsidTr="00DD1BA8">
        <w:tc>
          <w:tcPr>
            <w:tcW w:w="1647" w:type="dxa"/>
            <w:vMerge/>
          </w:tcPr>
          <w:p w:rsidR="000862E0" w:rsidRPr="000862E0" w:rsidRDefault="000862E0" w:rsidP="00DD1BA8">
            <w:pPr>
              <w:pStyle w:val="StandardBlock"/>
              <w:rPr>
                <w:rFonts w:asciiTheme="minorHAnsi" w:hAnsiTheme="minorHAnsi" w:cstheme="minorHAnsi"/>
              </w:rPr>
            </w:pPr>
          </w:p>
        </w:tc>
        <w:tc>
          <w:tcPr>
            <w:tcW w:w="170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PA 3.2</w:t>
            </w:r>
          </w:p>
        </w:tc>
        <w:tc>
          <w:tcPr>
            <w:tcW w:w="6370" w:type="dxa"/>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überwiegend (L) oder vollständig erfüllt (F)</w:t>
            </w:r>
          </w:p>
        </w:tc>
      </w:tr>
    </w:tbl>
    <w:p w:rsidR="000862E0" w:rsidRPr="000862E0" w:rsidRDefault="000862E0" w:rsidP="000862E0">
      <w:pPr>
        <w:pStyle w:val="StandardBlock"/>
        <w:rPr>
          <w:rFonts w:asciiTheme="minorHAnsi" w:hAnsiTheme="minorHAnsi" w:cstheme="minorHAnsi"/>
        </w:rPr>
      </w:pPr>
    </w:p>
    <w:p w:rsidR="000862E0" w:rsidRPr="008C2490" w:rsidRDefault="000862E0" w:rsidP="000862E0">
      <w:pPr>
        <w:pStyle w:val="berschrift1"/>
        <w:keepNext/>
        <w:numPr>
          <w:ilvl w:val="0"/>
          <w:numId w:val="37"/>
        </w:numPr>
        <w:tabs>
          <w:tab w:val="left" w:pos="567"/>
        </w:tabs>
        <w:spacing w:before="360" w:after="240"/>
        <w:rPr>
          <w:rFonts w:cstheme="minorHAnsi"/>
          <w:sz w:val="24"/>
        </w:rPr>
      </w:pPr>
      <w:r w:rsidRPr="000862E0">
        <w:rPr>
          <w:rFonts w:cstheme="minorHAnsi"/>
          <w:lang w:val="de-DE"/>
        </w:rPr>
        <w:br w:type="page"/>
      </w:r>
      <w:proofErr w:type="spellStart"/>
      <w:r w:rsidRPr="008C2490">
        <w:rPr>
          <w:rFonts w:cstheme="minorHAnsi"/>
          <w:sz w:val="24"/>
        </w:rPr>
        <w:lastRenderedPageBreak/>
        <w:t>Einstufung</w:t>
      </w:r>
      <w:proofErr w:type="spellEnd"/>
    </w:p>
    <w:p w:rsidR="000862E0" w:rsidRPr="008C2490" w:rsidRDefault="000862E0" w:rsidP="000862E0">
      <w:pPr>
        <w:jc w:val="both"/>
        <w:rPr>
          <w:rFonts w:cstheme="minorHAnsi"/>
          <w:sz w:val="22"/>
          <w:lang w:val="de-DE"/>
        </w:rPr>
      </w:pPr>
      <w:r w:rsidRPr="008C2490">
        <w:rPr>
          <w:rFonts w:cstheme="minorHAnsi"/>
          <w:sz w:val="22"/>
          <w:lang w:val="de-DE"/>
        </w:rPr>
        <w:t xml:space="preserve">Die Einstufung des Softwarelieferanten erfolgt auf Basis des ermittelten Prozessreifegrads. Dabei wird jeder Prozess einem Prozessreifegrad (0-3) Pi, mit i = 1…Anzahl (n) der </w:t>
      </w:r>
      <w:proofErr w:type="spellStart"/>
      <w:r w:rsidRPr="008C2490">
        <w:rPr>
          <w:rFonts w:cstheme="minorHAnsi"/>
          <w:sz w:val="22"/>
          <w:lang w:val="de-DE"/>
        </w:rPr>
        <w:t>assessierten</w:t>
      </w:r>
      <w:proofErr w:type="spellEnd"/>
      <w:r w:rsidRPr="008C2490">
        <w:rPr>
          <w:rFonts w:cstheme="minorHAnsi"/>
          <w:sz w:val="22"/>
          <w:lang w:val="de-DE"/>
        </w:rPr>
        <w:t xml:space="preserve"> Prozesse zugeordnet.</w:t>
      </w:r>
    </w:p>
    <w:p w:rsidR="000862E0" w:rsidRPr="000862E0" w:rsidRDefault="000862E0" w:rsidP="000862E0">
      <w:pPr>
        <w:jc w:val="both"/>
        <w:rPr>
          <w:rFonts w:cstheme="minorHAnsi"/>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273"/>
        <w:gridCol w:w="1896"/>
        <w:gridCol w:w="1799"/>
        <w:gridCol w:w="2763"/>
      </w:tblGrid>
      <w:tr w:rsidR="000862E0" w:rsidRPr="000862E0" w:rsidTr="00DD1BA8">
        <w:tc>
          <w:tcPr>
            <w:tcW w:w="851" w:type="dxa"/>
            <w:shd w:val="clear" w:color="auto" w:fill="BFBFBF" w:themeFill="background1" w:themeFillShade="BF"/>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 xml:space="preserve">Stufe </w:t>
            </w:r>
          </w:p>
        </w:tc>
        <w:tc>
          <w:tcPr>
            <w:tcW w:w="2307" w:type="dxa"/>
            <w:shd w:val="clear" w:color="auto" w:fill="BFBFBF" w:themeFill="background1" w:themeFillShade="BF"/>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Prozess</w:t>
            </w:r>
          </w:p>
        </w:tc>
        <w:tc>
          <w:tcPr>
            <w:tcW w:w="1927" w:type="dxa"/>
            <w:shd w:val="clear" w:color="auto" w:fill="BFBFBF" w:themeFill="background1" w:themeFillShade="BF"/>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Prozessreifegrad</w:t>
            </w:r>
          </w:p>
        </w:tc>
        <w:tc>
          <w:tcPr>
            <w:tcW w:w="1823" w:type="dxa"/>
            <w:shd w:val="clear" w:color="auto" w:fill="BFBFBF" w:themeFill="background1" w:themeFillShade="BF"/>
          </w:tcPr>
          <w:p w:rsidR="000862E0" w:rsidRPr="000862E0" w:rsidRDefault="000862E0" w:rsidP="00DD1BA8">
            <w:pPr>
              <w:pStyle w:val="StandardBlock"/>
              <w:jc w:val="left"/>
              <w:rPr>
                <w:rFonts w:asciiTheme="minorHAnsi" w:hAnsiTheme="minorHAnsi" w:cstheme="minorHAnsi"/>
              </w:rPr>
            </w:pPr>
          </w:p>
        </w:tc>
        <w:tc>
          <w:tcPr>
            <w:tcW w:w="2809" w:type="dxa"/>
            <w:shd w:val="clear" w:color="auto" w:fill="BFBFBF" w:themeFill="background1" w:themeFillShade="BF"/>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Feststellung / Maßnahmen</w:t>
            </w:r>
          </w:p>
        </w:tc>
      </w:tr>
      <w:tr w:rsidR="000862E0" w:rsidRPr="000862E0" w:rsidTr="00DD1BA8">
        <w:tc>
          <w:tcPr>
            <w:tcW w:w="851" w:type="dxa"/>
            <w:vMerge w:val="restart"/>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A</w:t>
            </w:r>
          </w:p>
        </w:tc>
        <w:tc>
          <w:tcPr>
            <w:tcW w:w="2307" w:type="dxa"/>
          </w:tcPr>
          <w:p w:rsidR="000862E0" w:rsidRPr="000862E0" w:rsidRDefault="000862E0" w:rsidP="00DD1BA8">
            <w:pPr>
              <w:pStyle w:val="StandardBlock"/>
              <w:jc w:val="left"/>
              <w:rPr>
                <w:rFonts w:asciiTheme="minorHAnsi" w:hAnsiTheme="minorHAnsi" w:cstheme="minorHAnsi"/>
                <w:lang w:val="en-US"/>
              </w:rPr>
            </w:pPr>
            <w:r w:rsidRPr="000862E0">
              <w:rPr>
                <w:rFonts w:asciiTheme="minorHAnsi" w:hAnsiTheme="minorHAnsi" w:cstheme="minorHAnsi"/>
                <w:lang w:val="en-US"/>
              </w:rPr>
              <w:t>MAN.3, ACQ.4, SUP.1, SUP.8 – SUP.10</w:t>
            </w:r>
          </w:p>
        </w:tc>
        <w:tc>
          <w:tcPr>
            <w:tcW w:w="1927" w:type="dxa"/>
          </w:tcPr>
          <w:p w:rsidR="000862E0" w:rsidRPr="000862E0" w:rsidRDefault="000862E0" w:rsidP="00DD1BA8">
            <w:pPr>
              <w:pStyle w:val="StandardBlock"/>
              <w:rPr>
                <w:rFonts w:asciiTheme="minorHAnsi" w:hAnsiTheme="minorHAnsi" w:cstheme="minorHAnsi"/>
                <w:lang w:val="en-US"/>
              </w:rPr>
            </w:pPr>
            <w:proofErr w:type="spellStart"/>
            <w:r w:rsidRPr="000862E0">
              <w:rPr>
                <w:rFonts w:asciiTheme="minorHAnsi" w:hAnsiTheme="minorHAnsi" w:cstheme="minorHAnsi"/>
                <w:lang w:val="en-US"/>
              </w:rPr>
              <w:t>alle</w:t>
            </w:r>
            <w:proofErr w:type="spellEnd"/>
            <w:r w:rsidRPr="000862E0">
              <w:rPr>
                <w:rFonts w:asciiTheme="minorHAnsi" w:hAnsiTheme="minorHAnsi" w:cstheme="minorHAnsi"/>
                <w:lang w:val="en-US"/>
              </w:rPr>
              <w:t xml:space="preserve"> </w:t>
            </w:r>
            <w:proofErr w:type="gramStart"/>
            <w:r w:rsidRPr="000862E0">
              <w:rPr>
                <w:rFonts w:asciiTheme="minorHAnsi" w:hAnsiTheme="minorHAnsi" w:cstheme="minorHAnsi"/>
                <w:lang w:val="en-US"/>
              </w:rPr>
              <w:t>Pi  &gt;</w:t>
            </w:r>
            <w:proofErr w:type="gramEnd"/>
            <w:r w:rsidRPr="000862E0">
              <w:rPr>
                <w:rFonts w:asciiTheme="minorHAnsi" w:hAnsiTheme="minorHAnsi" w:cstheme="minorHAnsi"/>
                <w:lang w:val="en-US"/>
              </w:rPr>
              <w:t>= 2</w:t>
            </w:r>
          </w:p>
        </w:tc>
        <w:tc>
          <w:tcPr>
            <w:tcW w:w="1823" w:type="dxa"/>
            <w:vMerge w:val="restart"/>
            <w:vAlign w:val="center"/>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qualitätsfähig</w:t>
            </w:r>
          </w:p>
        </w:tc>
        <w:tc>
          <w:tcPr>
            <w:tcW w:w="2809" w:type="dxa"/>
            <w:vMerge w:val="restart"/>
            <w:vAlign w:val="center"/>
          </w:tcPr>
          <w:p w:rsidR="000862E0" w:rsidRPr="000862E0" w:rsidRDefault="000862E0" w:rsidP="00DD1BA8">
            <w:pPr>
              <w:pStyle w:val="StandardBlock"/>
              <w:jc w:val="center"/>
              <w:rPr>
                <w:rFonts w:asciiTheme="minorHAnsi" w:hAnsiTheme="minorHAnsi" w:cstheme="minorHAnsi"/>
              </w:rPr>
            </w:pPr>
          </w:p>
        </w:tc>
      </w:tr>
      <w:tr w:rsidR="000862E0" w:rsidRPr="000862E0" w:rsidTr="00DD1BA8">
        <w:tc>
          <w:tcPr>
            <w:tcW w:w="851" w:type="dxa"/>
            <w:vMerge/>
          </w:tcPr>
          <w:p w:rsidR="000862E0" w:rsidRPr="000862E0" w:rsidRDefault="000862E0" w:rsidP="00DD1BA8">
            <w:pPr>
              <w:pStyle w:val="StandardBlock"/>
              <w:rPr>
                <w:rFonts w:asciiTheme="minorHAnsi" w:hAnsiTheme="minorHAnsi" w:cstheme="minorHAnsi"/>
              </w:rPr>
            </w:pPr>
          </w:p>
        </w:tc>
        <w:tc>
          <w:tcPr>
            <w:tcW w:w="4234" w:type="dxa"/>
            <w:gridSpan w:val="2"/>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und</w:t>
            </w:r>
          </w:p>
        </w:tc>
        <w:tc>
          <w:tcPr>
            <w:tcW w:w="1823" w:type="dxa"/>
            <w:vMerge/>
            <w:vAlign w:val="center"/>
          </w:tcPr>
          <w:p w:rsidR="000862E0" w:rsidRPr="000862E0" w:rsidRDefault="000862E0" w:rsidP="00DD1BA8">
            <w:pPr>
              <w:pStyle w:val="StandardBlock"/>
              <w:jc w:val="center"/>
              <w:rPr>
                <w:rFonts w:asciiTheme="minorHAnsi" w:hAnsiTheme="minorHAnsi" w:cstheme="minorHAnsi"/>
              </w:rPr>
            </w:pPr>
          </w:p>
        </w:tc>
        <w:tc>
          <w:tcPr>
            <w:tcW w:w="2809" w:type="dxa"/>
            <w:vMerge/>
            <w:vAlign w:val="center"/>
          </w:tcPr>
          <w:p w:rsidR="000862E0" w:rsidRPr="000862E0" w:rsidRDefault="000862E0" w:rsidP="00DD1BA8">
            <w:pPr>
              <w:pStyle w:val="StandardBlock"/>
              <w:jc w:val="center"/>
              <w:rPr>
                <w:rFonts w:asciiTheme="minorHAnsi" w:hAnsiTheme="minorHAnsi" w:cstheme="minorHAnsi"/>
              </w:rPr>
            </w:pPr>
          </w:p>
        </w:tc>
      </w:tr>
      <w:tr w:rsidR="000862E0" w:rsidRPr="004E2B36" w:rsidTr="00DD1BA8">
        <w:tc>
          <w:tcPr>
            <w:tcW w:w="851" w:type="dxa"/>
            <w:vMerge/>
          </w:tcPr>
          <w:p w:rsidR="000862E0" w:rsidRPr="000862E0" w:rsidRDefault="000862E0" w:rsidP="00DD1BA8">
            <w:pPr>
              <w:pStyle w:val="StandardBlock"/>
              <w:rPr>
                <w:rFonts w:asciiTheme="minorHAnsi" w:hAnsiTheme="minorHAnsi" w:cstheme="minorHAnsi"/>
              </w:rPr>
            </w:pPr>
          </w:p>
        </w:tc>
        <w:tc>
          <w:tcPr>
            <w:tcW w:w="230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ENG.2 - ENG.10</w:t>
            </w:r>
          </w:p>
        </w:tc>
        <w:tc>
          <w:tcPr>
            <w:tcW w:w="192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 xml:space="preserve">alle </w:t>
            </w:r>
            <w:proofErr w:type="gramStart"/>
            <w:r w:rsidRPr="000862E0">
              <w:rPr>
                <w:rFonts w:asciiTheme="minorHAnsi" w:hAnsiTheme="minorHAnsi" w:cstheme="minorHAnsi"/>
              </w:rPr>
              <w:t>Pi  &gt;</w:t>
            </w:r>
            <w:proofErr w:type="gramEnd"/>
            <w:r w:rsidRPr="000862E0">
              <w:rPr>
                <w:rFonts w:asciiTheme="minorHAnsi" w:hAnsiTheme="minorHAnsi" w:cstheme="minorHAnsi"/>
              </w:rPr>
              <w:t>= 1 und alle PA 1.1i  = „F“</w:t>
            </w:r>
          </w:p>
        </w:tc>
        <w:tc>
          <w:tcPr>
            <w:tcW w:w="1823" w:type="dxa"/>
            <w:vMerge/>
            <w:vAlign w:val="center"/>
          </w:tcPr>
          <w:p w:rsidR="000862E0" w:rsidRPr="000862E0" w:rsidRDefault="000862E0" w:rsidP="00DD1BA8">
            <w:pPr>
              <w:pStyle w:val="StandardBlock"/>
              <w:jc w:val="center"/>
              <w:rPr>
                <w:rFonts w:asciiTheme="minorHAnsi" w:hAnsiTheme="minorHAnsi" w:cstheme="minorHAnsi"/>
              </w:rPr>
            </w:pPr>
          </w:p>
        </w:tc>
        <w:tc>
          <w:tcPr>
            <w:tcW w:w="2809" w:type="dxa"/>
            <w:vMerge/>
            <w:vAlign w:val="center"/>
          </w:tcPr>
          <w:p w:rsidR="000862E0" w:rsidRPr="000862E0" w:rsidRDefault="000862E0" w:rsidP="00DD1BA8">
            <w:pPr>
              <w:pStyle w:val="StandardBlock"/>
              <w:jc w:val="center"/>
              <w:rPr>
                <w:rFonts w:asciiTheme="minorHAnsi" w:hAnsiTheme="minorHAnsi" w:cstheme="minorHAnsi"/>
              </w:rPr>
            </w:pPr>
          </w:p>
        </w:tc>
      </w:tr>
      <w:tr w:rsidR="000862E0" w:rsidRPr="000862E0" w:rsidTr="00DD1BA8">
        <w:tc>
          <w:tcPr>
            <w:tcW w:w="851" w:type="dxa"/>
            <w:vMerge w:val="restart"/>
          </w:tcPr>
          <w:p w:rsidR="000862E0" w:rsidRPr="000862E0" w:rsidRDefault="000862E0" w:rsidP="00DD1BA8">
            <w:pPr>
              <w:pStyle w:val="StandardBlock"/>
              <w:rPr>
                <w:rFonts w:asciiTheme="minorHAnsi" w:hAnsiTheme="minorHAnsi" w:cstheme="minorHAnsi"/>
              </w:rPr>
            </w:pPr>
            <w:r w:rsidRPr="000862E0">
              <w:rPr>
                <w:rFonts w:asciiTheme="minorHAnsi" w:hAnsiTheme="minorHAnsi" w:cstheme="minorHAnsi"/>
              </w:rPr>
              <w:t>B</w:t>
            </w:r>
          </w:p>
        </w:tc>
        <w:tc>
          <w:tcPr>
            <w:tcW w:w="2307" w:type="dxa"/>
          </w:tcPr>
          <w:p w:rsidR="000862E0" w:rsidRPr="000862E0" w:rsidRDefault="000862E0" w:rsidP="00DD1BA8">
            <w:pPr>
              <w:pStyle w:val="StandardBlock"/>
              <w:jc w:val="left"/>
              <w:rPr>
                <w:rFonts w:asciiTheme="minorHAnsi" w:hAnsiTheme="minorHAnsi" w:cstheme="minorHAnsi"/>
                <w:lang w:val="en-US"/>
              </w:rPr>
            </w:pPr>
            <w:r w:rsidRPr="000862E0">
              <w:rPr>
                <w:rFonts w:asciiTheme="minorHAnsi" w:hAnsiTheme="minorHAnsi" w:cstheme="minorHAnsi"/>
                <w:lang w:val="en-US"/>
              </w:rPr>
              <w:t>MAN.3, ACQ.4, SUP.1, SUP.8 – SUP.10</w:t>
            </w:r>
          </w:p>
        </w:tc>
        <w:tc>
          <w:tcPr>
            <w:tcW w:w="192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 xml:space="preserve">alle </w:t>
            </w:r>
            <w:proofErr w:type="gramStart"/>
            <w:r w:rsidRPr="000862E0">
              <w:rPr>
                <w:rFonts w:asciiTheme="minorHAnsi" w:hAnsiTheme="minorHAnsi" w:cstheme="minorHAnsi"/>
              </w:rPr>
              <w:t>Pi  &gt;</w:t>
            </w:r>
            <w:proofErr w:type="gramEnd"/>
            <w:r w:rsidRPr="000862E0">
              <w:rPr>
                <w:rFonts w:asciiTheme="minorHAnsi" w:hAnsiTheme="minorHAnsi" w:cstheme="minorHAnsi"/>
              </w:rPr>
              <w:t>= 1 und  mindestens ein Pi  &lt; 2</w:t>
            </w:r>
          </w:p>
        </w:tc>
        <w:tc>
          <w:tcPr>
            <w:tcW w:w="1823" w:type="dxa"/>
            <w:vMerge w:val="restart"/>
            <w:vAlign w:val="center"/>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unter bestimmten Bedingungen qualitätsfähig</w:t>
            </w:r>
          </w:p>
        </w:tc>
        <w:tc>
          <w:tcPr>
            <w:tcW w:w="2809" w:type="dxa"/>
            <w:vMerge w:val="restart"/>
            <w:vAlign w:val="center"/>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Realisierung eines Verbesserungsprogramms</w:t>
            </w:r>
          </w:p>
        </w:tc>
      </w:tr>
      <w:tr w:rsidR="000862E0" w:rsidRPr="000862E0" w:rsidTr="00DD1BA8">
        <w:tc>
          <w:tcPr>
            <w:tcW w:w="851" w:type="dxa"/>
            <w:vMerge/>
          </w:tcPr>
          <w:p w:rsidR="000862E0" w:rsidRPr="000862E0" w:rsidRDefault="000862E0" w:rsidP="00DD1BA8">
            <w:pPr>
              <w:pStyle w:val="StandardBlock"/>
              <w:rPr>
                <w:rFonts w:asciiTheme="minorHAnsi" w:hAnsiTheme="minorHAnsi" w:cstheme="minorHAnsi"/>
              </w:rPr>
            </w:pPr>
          </w:p>
        </w:tc>
        <w:tc>
          <w:tcPr>
            <w:tcW w:w="4234" w:type="dxa"/>
            <w:gridSpan w:val="2"/>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und</w:t>
            </w:r>
          </w:p>
        </w:tc>
        <w:tc>
          <w:tcPr>
            <w:tcW w:w="1823" w:type="dxa"/>
            <w:vMerge/>
            <w:vAlign w:val="center"/>
          </w:tcPr>
          <w:p w:rsidR="000862E0" w:rsidRPr="000862E0" w:rsidRDefault="000862E0" w:rsidP="00DD1BA8">
            <w:pPr>
              <w:pStyle w:val="StandardBlock"/>
              <w:jc w:val="center"/>
              <w:rPr>
                <w:rFonts w:asciiTheme="minorHAnsi" w:hAnsiTheme="minorHAnsi" w:cstheme="minorHAnsi"/>
              </w:rPr>
            </w:pPr>
          </w:p>
        </w:tc>
        <w:tc>
          <w:tcPr>
            <w:tcW w:w="2809" w:type="dxa"/>
            <w:vMerge/>
            <w:vAlign w:val="center"/>
          </w:tcPr>
          <w:p w:rsidR="000862E0" w:rsidRPr="000862E0" w:rsidRDefault="000862E0" w:rsidP="00DD1BA8">
            <w:pPr>
              <w:pStyle w:val="StandardBlock"/>
              <w:jc w:val="center"/>
              <w:rPr>
                <w:rFonts w:asciiTheme="minorHAnsi" w:hAnsiTheme="minorHAnsi" w:cstheme="minorHAnsi"/>
              </w:rPr>
            </w:pPr>
          </w:p>
        </w:tc>
      </w:tr>
      <w:tr w:rsidR="000862E0" w:rsidRPr="000862E0" w:rsidTr="00DD1BA8">
        <w:tc>
          <w:tcPr>
            <w:tcW w:w="851" w:type="dxa"/>
            <w:vMerge/>
          </w:tcPr>
          <w:p w:rsidR="000862E0" w:rsidRPr="000862E0" w:rsidRDefault="000862E0" w:rsidP="00DD1BA8">
            <w:pPr>
              <w:pStyle w:val="StandardBlock"/>
              <w:rPr>
                <w:rFonts w:asciiTheme="minorHAnsi" w:hAnsiTheme="minorHAnsi" w:cstheme="minorHAnsi"/>
              </w:rPr>
            </w:pPr>
          </w:p>
        </w:tc>
        <w:tc>
          <w:tcPr>
            <w:tcW w:w="230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ENG.2 - ENG.10</w:t>
            </w:r>
          </w:p>
        </w:tc>
        <w:tc>
          <w:tcPr>
            <w:tcW w:w="192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 xml:space="preserve">alle </w:t>
            </w:r>
            <w:proofErr w:type="gramStart"/>
            <w:r w:rsidRPr="000862E0">
              <w:rPr>
                <w:rFonts w:asciiTheme="minorHAnsi" w:hAnsiTheme="minorHAnsi" w:cstheme="minorHAnsi"/>
              </w:rPr>
              <w:t>Pi  &gt;</w:t>
            </w:r>
            <w:proofErr w:type="gramEnd"/>
            <w:r w:rsidRPr="000862E0">
              <w:rPr>
                <w:rFonts w:asciiTheme="minorHAnsi" w:hAnsiTheme="minorHAnsi" w:cstheme="minorHAnsi"/>
              </w:rPr>
              <w:t>= 1</w:t>
            </w:r>
          </w:p>
        </w:tc>
        <w:tc>
          <w:tcPr>
            <w:tcW w:w="1823" w:type="dxa"/>
            <w:vMerge/>
            <w:vAlign w:val="center"/>
          </w:tcPr>
          <w:p w:rsidR="000862E0" w:rsidRPr="000862E0" w:rsidRDefault="000862E0" w:rsidP="00DD1BA8">
            <w:pPr>
              <w:pStyle w:val="StandardBlock"/>
              <w:jc w:val="center"/>
              <w:rPr>
                <w:rFonts w:asciiTheme="minorHAnsi" w:hAnsiTheme="minorHAnsi" w:cstheme="minorHAnsi"/>
              </w:rPr>
            </w:pPr>
          </w:p>
        </w:tc>
        <w:tc>
          <w:tcPr>
            <w:tcW w:w="2809" w:type="dxa"/>
            <w:vMerge/>
            <w:vAlign w:val="center"/>
          </w:tcPr>
          <w:p w:rsidR="000862E0" w:rsidRPr="000862E0" w:rsidRDefault="000862E0" w:rsidP="00DD1BA8">
            <w:pPr>
              <w:pStyle w:val="StandardBlock"/>
              <w:jc w:val="center"/>
              <w:rPr>
                <w:rFonts w:asciiTheme="minorHAnsi" w:hAnsiTheme="minorHAnsi" w:cstheme="minorHAnsi"/>
              </w:rPr>
            </w:pPr>
          </w:p>
        </w:tc>
      </w:tr>
      <w:tr w:rsidR="000862E0" w:rsidRPr="000862E0" w:rsidTr="00DD1BA8">
        <w:tc>
          <w:tcPr>
            <w:tcW w:w="851"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C</w:t>
            </w:r>
          </w:p>
        </w:tc>
        <w:tc>
          <w:tcPr>
            <w:tcW w:w="230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alle Prozesse</w:t>
            </w:r>
          </w:p>
        </w:tc>
        <w:tc>
          <w:tcPr>
            <w:tcW w:w="1927" w:type="dxa"/>
          </w:tcPr>
          <w:p w:rsidR="000862E0" w:rsidRPr="000862E0" w:rsidRDefault="000862E0" w:rsidP="00DD1BA8">
            <w:pPr>
              <w:pStyle w:val="StandardBlock"/>
              <w:jc w:val="left"/>
              <w:rPr>
                <w:rFonts w:asciiTheme="minorHAnsi" w:hAnsiTheme="minorHAnsi" w:cstheme="minorHAnsi"/>
              </w:rPr>
            </w:pPr>
            <w:r w:rsidRPr="000862E0">
              <w:rPr>
                <w:rFonts w:asciiTheme="minorHAnsi" w:hAnsiTheme="minorHAnsi" w:cstheme="minorHAnsi"/>
              </w:rPr>
              <w:t>mindestens</w:t>
            </w:r>
            <w:r w:rsidRPr="000862E0">
              <w:rPr>
                <w:rFonts w:asciiTheme="minorHAnsi" w:hAnsiTheme="minorHAnsi" w:cstheme="minorHAnsi"/>
              </w:rPr>
              <w:br/>
              <w:t>ein Pi = 0</w:t>
            </w:r>
          </w:p>
        </w:tc>
        <w:tc>
          <w:tcPr>
            <w:tcW w:w="1823" w:type="dxa"/>
            <w:vAlign w:val="center"/>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n i c h t qualitätsfähig</w:t>
            </w:r>
          </w:p>
        </w:tc>
        <w:tc>
          <w:tcPr>
            <w:tcW w:w="2809" w:type="dxa"/>
            <w:vAlign w:val="center"/>
          </w:tcPr>
          <w:p w:rsidR="000862E0" w:rsidRPr="000862E0" w:rsidRDefault="000862E0" w:rsidP="00DD1BA8">
            <w:pPr>
              <w:pStyle w:val="StandardBlock"/>
              <w:jc w:val="center"/>
              <w:rPr>
                <w:rFonts w:asciiTheme="minorHAnsi" w:hAnsiTheme="minorHAnsi" w:cstheme="minorHAnsi"/>
              </w:rPr>
            </w:pPr>
            <w:r w:rsidRPr="000862E0">
              <w:rPr>
                <w:rFonts w:asciiTheme="minorHAnsi" w:hAnsiTheme="minorHAnsi" w:cstheme="minorHAnsi"/>
              </w:rPr>
              <w:t>Sofortmaßnahmen Realisierung eines Verbesserungsprogramms</w:t>
            </w:r>
          </w:p>
        </w:tc>
      </w:tr>
    </w:tbl>
    <w:p w:rsidR="000862E0" w:rsidRPr="000862E0" w:rsidRDefault="000862E0" w:rsidP="000862E0">
      <w:pPr>
        <w:pStyle w:val="StandardBlock"/>
        <w:rPr>
          <w:rFonts w:asciiTheme="minorHAnsi" w:hAnsiTheme="minorHAnsi" w:cstheme="minorHAnsi"/>
        </w:rPr>
      </w:pPr>
    </w:p>
    <w:p w:rsidR="0061528E" w:rsidRPr="000862E0" w:rsidRDefault="0061528E" w:rsidP="000862E0">
      <w:pPr>
        <w:rPr>
          <w:rFonts w:cstheme="minorHAnsi"/>
        </w:rPr>
      </w:pPr>
    </w:p>
    <w:sectPr w:rsidR="0061528E" w:rsidRPr="000862E0"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2E0" w:rsidRDefault="000862E0" w:rsidP="00D661C2">
      <w:pPr>
        <w:spacing w:after="120"/>
      </w:pPr>
      <w:r>
        <w:separator/>
      </w:r>
    </w:p>
    <w:p w:rsidR="000862E0" w:rsidRDefault="000862E0" w:rsidP="00D661C2">
      <w:pPr>
        <w:spacing w:after="120"/>
      </w:pPr>
    </w:p>
  </w:endnote>
  <w:endnote w:type="continuationSeparator" w:id="0">
    <w:p w:rsidR="000862E0" w:rsidRDefault="000862E0" w:rsidP="00D661C2">
      <w:pPr>
        <w:spacing w:after="120"/>
      </w:pPr>
      <w:r>
        <w:continuationSeparator/>
      </w:r>
    </w:p>
    <w:p w:rsidR="000862E0" w:rsidRDefault="000862E0" w:rsidP="00D661C2">
      <w:pPr>
        <w:spacing w:after="120"/>
      </w:pPr>
    </w:p>
    <w:p w:rsidR="000862E0" w:rsidRDefault="000862E0"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5A" w:rsidRPr="001F0A5A" w:rsidRDefault="001F0A5A" w:rsidP="001F0A5A">
    <w:pPr>
      <w:pStyle w:val="Fuzeile"/>
      <w:spacing w:after="120"/>
      <w:rPr>
        <w:sz w:val="19"/>
        <w:szCs w:val="19"/>
      </w:rPr>
    </w:pPr>
    <w:r w:rsidRPr="001F0A5A">
      <w:rPr>
        <w:sz w:val="19"/>
        <w:szCs w:val="19"/>
      </w:rPr>
      <w:t>Qualitätssicherungsvereinbarung mit Softwarelieferanten – Anlage 1</w:t>
    </w:r>
  </w:p>
  <w:p w:rsidR="00D661C2" w:rsidRPr="001F0A5A" w:rsidRDefault="001F0A5A">
    <w:pPr>
      <w:pStyle w:val="Fuzeile"/>
      <w:spacing w:after="120"/>
      <w:rPr>
        <w:sz w:val="19"/>
        <w:szCs w:val="19"/>
      </w:rPr>
    </w:pPr>
    <w:r w:rsidRPr="001F0A5A">
      <w:rPr>
        <w:sz w:val="19"/>
        <w:szCs w:val="19"/>
      </w:rPr>
      <w:t xml:space="preserve">Durchführung und Bewertung </w:t>
    </w:r>
    <w:proofErr w:type="spellStart"/>
    <w:r w:rsidRPr="001F0A5A">
      <w:rPr>
        <w:sz w:val="19"/>
        <w:szCs w:val="19"/>
      </w:rPr>
      <w:t>Prozessassessment</w:t>
    </w:r>
    <w:proofErr w:type="spellEnd"/>
    <w:r w:rsidRPr="001F0A5A">
      <w:rPr>
        <w:sz w:val="19"/>
        <w:szCs w:val="19"/>
      </w:rPr>
      <w:tab/>
      <w:t>Ausgabe: 2013-10-10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5A" w:rsidRPr="001F0A5A" w:rsidRDefault="001F0A5A" w:rsidP="001F0A5A">
    <w:pPr>
      <w:pStyle w:val="Fuzeile"/>
      <w:spacing w:after="120"/>
      <w:rPr>
        <w:sz w:val="19"/>
        <w:szCs w:val="19"/>
      </w:rPr>
    </w:pPr>
    <w:r w:rsidRPr="001F0A5A">
      <w:rPr>
        <w:sz w:val="19"/>
        <w:szCs w:val="19"/>
      </w:rPr>
      <w:t>Qualitätssicherungsvereinbarung mit Softwarelieferanten – Anlage 1</w:t>
    </w:r>
  </w:p>
  <w:p w:rsidR="00160AC5" w:rsidRPr="001F0A5A" w:rsidRDefault="001F0A5A" w:rsidP="001F0A5A">
    <w:pPr>
      <w:pStyle w:val="Fuzeile"/>
      <w:spacing w:after="120"/>
      <w:rPr>
        <w:sz w:val="19"/>
        <w:szCs w:val="19"/>
      </w:rPr>
    </w:pPr>
    <w:r w:rsidRPr="001F0A5A">
      <w:rPr>
        <w:sz w:val="19"/>
        <w:szCs w:val="19"/>
      </w:rPr>
      <w:t xml:space="preserve">Durchführung und Bewertung </w:t>
    </w:r>
    <w:proofErr w:type="spellStart"/>
    <w:r w:rsidRPr="001F0A5A">
      <w:rPr>
        <w:sz w:val="19"/>
        <w:szCs w:val="19"/>
      </w:rPr>
      <w:t>Prozessassessment</w:t>
    </w:r>
    <w:proofErr w:type="spellEnd"/>
    <w:r w:rsidRPr="001F0A5A">
      <w:rPr>
        <w:sz w:val="19"/>
        <w:szCs w:val="19"/>
      </w:rPr>
      <w:tab/>
      <w:t>Ausgabe: 2013-10-10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2E0" w:rsidRDefault="000862E0" w:rsidP="00D661C2">
      <w:pPr>
        <w:spacing w:after="120"/>
      </w:pPr>
      <w:r>
        <w:separator/>
      </w:r>
    </w:p>
    <w:p w:rsidR="000862E0" w:rsidRDefault="000862E0" w:rsidP="00D661C2">
      <w:pPr>
        <w:spacing w:after="120"/>
      </w:pPr>
    </w:p>
  </w:footnote>
  <w:footnote w:type="continuationSeparator" w:id="0">
    <w:p w:rsidR="000862E0" w:rsidRDefault="000862E0" w:rsidP="00D661C2">
      <w:pPr>
        <w:spacing w:after="120"/>
      </w:pPr>
      <w:r>
        <w:continuationSeparator/>
      </w:r>
    </w:p>
    <w:p w:rsidR="000862E0" w:rsidRDefault="000862E0"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2" w:name="mioPage1"/>
          <w:proofErr w:type="spellStart"/>
          <w:r>
            <w:t>Seite</w:t>
          </w:r>
          <w:bookmarkEnd w:id="2"/>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3" w:name="mioPageOf"/>
          <w:r>
            <w:t>von</w:t>
          </w:r>
          <w:bookmarkEnd w:id="3"/>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0862E0" w:rsidRDefault="004E2B36" w:rsidP="000862E0">
    <w:pPr>
      <w:pStyle w:val="Titel"/>
      <w:spacing w:before="240" w:afterLines="0" w:after="60"/>
      <w:jc w:val="right"/>
      <w:rPr>
        <w:b w:val="0"/>
        <w:sz w:val="19"/>
        <w:szCs w:val="19"/>
      </w:rPr>
    </w:pPr>
    <w:r>
      <w:rPr>
        <w:noProof/>
        <w:sz w:val="19"/>
        <w:szCs w:val="1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left:0;text-align:left;margin-left:0;margin-top:0;width:612.85pt;height:64.5pt;rotation:315;z-index:-251650048;mso-position-horizontal:center;mso-position-horizontal-relative:margin;mso-position-vertical:center;mso-position-vertical-relative:margin" o:allowincell="f" fillcolor="silver" stroked="f">
          <v:fill opacity=".5"/>
          <v:textpath style="font-family:&quot;Arial&quot;;font-size:1pt" string="QSV Vertragsvorlage"/>
          <w10:wrap anchorx="margin" anchory="margin"/>
        </v:shape>
      </w:pict>
    </w:r>
    <w:r w:rsidR="002F1808"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84" w:rsidRPr="000862E0" w:rsidRDefault="004E2B36" w:rsidP="000862E0">
    <w:pPr>
      <w:pStyle w:val="Titel"/>
      <w:spacing w:before="240" w:afterLines="0" w:after="60"/>
      <w:jc w:val="right"/>
      <w:rPr>
        <w:b w:val="0"/>
        <w:sz w:val="19"/>
        <w:szCs w:val="19"/>
      </w:rPr>
    </w:pPr>
    <w:bookmarkStart w:id="4" w:name="_Hlk525026156"/>
    <w:bookmarkStart w:id="5" w:name="_Hlk525026157"/>
    <w:bookmarkStart w:id="6" w:name="_Hlk525026301"/>
    <w:bookmarkStart w:id="7" w:name="_Hlk525026302"/>
    <w:bookmarkStart w:id="8" w:name="_Hlk525026309"/>
    <w:bookmarkStart w:id="9" w:name="_Hlk525026310"/>
    <w:bookmarkStart w:id="10" w:name="_Hlk525026395"/>
    <w:bookmarkStart w:id="11" w:name="_Hlk525026396"/>
    <w:bookmarkStart w:id="12" w:name="_Hlk525026462"/>
    <w:bookmarkStart w:id="13" w:name="_Hlk525026463"/>
    <w:bookmarkStart w:id="14" w:name="_Hlk525026492"/>
    <w:bookmarkStart w:id="15" w:name="_Hlk525026493"/>
    <w:bookmarkStart w:id="16" w:name="_Hlk525026714"/>
    <w:bookmarkStart w:id="17" w:name="_Hlk525026715"/>
    <w:bookmarkStart w:id="18" w:name="_Hlk525026792"/>
    <w:bookmarkStart w:id="19" w:name="_Hlk525026793"/>
    <w:r>
      <w:rPr>
        <w:noProof/>
        <w:sz w:val="19"/>
        <w:szCs w:val="1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6582" o:spid="_x0000_s4097" type="#_x0000_t136" style="position:absolute;left:0;text-align:left;margin-left:0;margin-top:0;width:612.85pt;height:64.5pt;rotation:315;z-index:-251651072;mso-position-horizontal:center;mso-position-horizontal-relative:margin;mso-position-vertical:center;mso-position-vertical-relative:margin" o:allowincell="f" fillcolor="silver" stroked="f">
          <v:fill opacity=".5"/>
          <v:textpath style="font-family:&quot;Arial&quot;;font-size:1pt" string="QSV Vertragsvorlage"/>
          <w10:wrap anchorx="margin" anchory="margin"/>
        </v:shape>
      </w:pict>
    </w:r>
    <w:r w:rsidR="00437E62" w:rsidRPr="000862E0">
      <w:rPr>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F7D6"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8"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73F308D4"/>
    <w:multiLevelType w:val="multilevel"/>
    <w:tmpl w:val="FDFA0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D4110"/>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540"/>
        </w:tabs>
        <w:ind w:left="18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7"/>
  </w:num>
  <w:num w:numId="12">
    <w:abstractNumId w:val="7"/>
  </w:num>
  <w:num w:numId="13">
    <w:abstractNumId w:val="7"/>
  </w:num>
  <w:num w:numId="14">
    <w:abstractNumId w:val="5"/>
  </w:num>
  <w:num w:numId="15">
    <w:abstractNumId w:val="5"/>
  </w:num>
  <w:num w:numId="16">
    <w:abstractNumId w:val="5"/>
  </w:num>
  <w:num w:numId="17">
    <w:abstractNumId w:val="5"/>
  </w:num>
  <w:num w:numId="18">
    <w:abstractNumId w:val="5"/>
  </w:num>
  <w:num w:numId="19">
    <w:abstractNumId w:val="8"/>
  </w:num>
  <w:num w:numId="20">
    <w:abstractNumId w:val="8"/>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7"/>
  </w:num>
  <w:num w:numId="32">
    <w:abstractNumId w:val="7"/>
  </w:num>
  <w:num w:numId="33">
    <w:abstractNumId w:val="7"/>
  </w:num>
  <w:num w:numId="34">
    <w:abstractNumId w:val="8"/>
  </w:num>
  <w:num w:numId="35">
    <w:abstractNumId w:val="8"/>
  </w:num>
  <w:num w:numId="36">
    <w:abstractNumId w:val="8"/>
  </w:num>
  <w:num w:numId="37">
    <w:abstractNumId w:val="10"/>
  </w:num>
  <w:num w:numId="38">
    <w:abstractNumId w:val="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q6TPWjoPynoaovF4SBjwqRKz6p93M/d1CnMgjqIL/F6+jbCC1DkTPi/wBh/lrV/Q/huKbqioHCKnb+sb6BJs8A==" w:salt="jkTxbGBhEkZDtcTM2KpMNA=="/>
  <w:defaultTabStop w:val="708"/>
  <w:autoHyphenation/>
  <w:hyphenationZone w:val="425"/>
  <w:defaultTableStyle w:val="SchaefflerTable"/>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862E0"/>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A5A"/>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1951"/>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4E2B36"/>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87F71"/>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49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26F0"/>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D7C0CC8"/>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0862E0"/>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Standard"/>
    <w:next w:val="Standard"/>
    <w:rsid w:val="000862E0"/>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basedOn w:val="Absatz-Standardschriftart"/>
    <w:link w:val="StandardBlock"/>
    <w:rsid w:val="000862E0"/>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5BC5-BF38-4505-B9E7-F37D6817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9</cp:revision>
  <cp:lastPrinted>2018-08-01T09:09:00Z</cp:lastPrinted>
  <dcterms:created xsi:type="dcterms:W3CDTF">2020-10-14T13:06:00Z</dcterms:created>
  <dcterms:modified xsi:type="dcterms:W3CDTF">2020-11-05T10:07:00Z</dcterms:modified>
</cp:coreProperties>
</file>