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19" w:rsidRPr="00877019" w:rsidRDefault="00877019" w:rsidP="00877019">
      <w:pPr>
        <w:pStyle w:val="Titel"/>
      </w:pPr>
      <w:r w:rsidRPr="00877019">
        <w:t>Qualitätssicherungsvereinbarung mit Softwarelieferanten</w:t>
      </w:r>
    </w:p>
    <w:p w:rsidR="00877019" w:rsidRDefault="00877019" w:rsidP="00877019">
      <w:pPr>
        <w:pStyle w:val="StandardZentriert"/>
        <w:jc w:val="left"/>
      </w:pPr>
    </w:p>
    <w:p w:rsidR="00877019" w:rsidRDefault="00877019" w:rsidP="00877019">
      <w:pPr>
        <w:pStyle w:val="StandardZentriert"/>
        <w:jc w:val="left"/>
      </w:pPr>
    </w:p>
    <w:p w:rsidR="00877019" w:rsidRDefault="00877019" w:rsidP="00877019"/>
    <w:p w:rsidR="00877019" w:rsidRPr="002A0F62" w:rsidRDefault="00877019" w:rsidP="00877019"/>
    <w:p w:rsidR="00877019" w:rsidRPr="00877019" w:rsidRDefault="00877019" w:rsidP="00877019">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877019">
        <w:rPr>
          <w:rFonts w:asciiTheme="minorHAnsi" w:hAnsiTheme="minorHAnsi" w:cstheme="minorHAnsi"/>
          <w:szCs w:val="22"/>
        </w:rPr>
        <w:t xml:space="preserve">zwischen </w:t>
      </w:r>
      <w:r w:rsidRPr="00877019">
        <w:rPr>
          <w:rFonts w:asciiTheme="minorHAnsi" w:hAnsiTheme="minorHAnsi" w:cstheme="minorHAnsi"/>
          <w:szCs w:val="22"/>
        </w:rPr>
        <w:tab/>
      </w:r>
      <w:r w:rsidRPr="00877019">
        <w:rPr>
          <w:rFonts w:asciiTheme="minorHAnsi" w:hAnsiTheme="minorHAnsi" w:cstheme="minorHAnsi"/>
          <w:szCs w:val="22"/>
        </w:rPr>
        <w:fldChar w:fldCharType="begin">
          <w:ffData>
            <w:name w:val="Text4"/>
            <w:enabled/>
            <w:calcOnExit w:val="0"/>
            <w:textInput/>
          </w:ffData>
        </w:fldChar>
      </w:r>
      <w:r w:rsidRPr="00877019">
        <w:rPr>
          <w:rFonts w:asciiTheme="minorHAnsi" w:hAnsiTheme="minorHAnsi" w:cstheme="minorHAnsi"/>
          <w:szCs w:val="22"/>
        </w:rPr>
        <w:instrText xml:space="preserve"> FORMTEXT </w:instrText>
      </w:r>
      <w:r w:rsidRPr="00877019">
        <w:rPr>
          <w:rFonts w:asciiTheme="minorHAnsi" w:hAnsiTheme="minorHAnsi" w:cstheme="minorHAnsi"/>
          <w:szCs w:val="22"/>
        </w:rPr>
      </w:r>
      <w:r w:rsidRPr="00877019">
        <w:rPr>
          <w:rFonts w:asciiTheme="minorHAnsi" w:hAnsiTheme="minorHAnsi" w:cstheme="minorHAnsi"/>
          <w:szCs w:val="22"/>
        </w:rPr>
        <w:fldChar w:fldCharType="separate"/>
      </w:r>
      <w:bookmarkStart w:id="0" w:name="_GoBack"/>
      <w:r w:rsidRPr="00877019">
        <w:rPr>
          <w:rFonts w:asciiTheme="minorHAnsi" w:hAnsiTheme="minorHAnsi" w:cstheme="minorHAnsi"/>
          <w:noProof/>
          <w:szCs w:val="22"/>
        </w:rPr>
        <w:t> </w:t>
      </w:r>
      <w:r w:rsidRPr="00877019">
        <w:rPr>
          <w:rFonts w:asciiTheme="minorHAnsi" w:hAnsiTheme="minorHAnsi" w:cstheme="minorHAnsi"/>
          <w:noProof/>
          <w:szCs w:val="22"/>
        </w:rPr>
        <w:t> </w:t>
      </w:r>
      <w:r w:rsidRPr="00877019">
        <w:rPr>
          <w:rFonts w:asciiTheme="minorHAnsi" w:hAnsiTheme="minorHAnsi" w:cstheme="minorHAnsi"/>
          <w:noProof/>
          <w:szCs w:val="22"/>
        </w:rPr>
        <w:t> </w:t>
      </w:r>
      <w:r w:rsidRPr="00877019">
        <w:rPr>
          <w:rFonts w:asciiTheme="minorHAnsi" w:hAnsiTheme="minorHAnsi" w:cstheme="minorHAnsi"/>
          <w:noProof/>
          <w:szCs w:val="22"/>
        </w:rPr>
        <w:t> </w:t>
      </w:r>
      <w:r w:rsidRPr="00877019">
        <w:rPr>
          <w:rFonts w:asciiTheme="minorHAnsi" w:hAnsiTheme="minorHAnsi" w:cstheme="minorHAnsi"/>
          <w:noProof/>
          <w:szCs w:val="22"/>
        </w:rPr>
        <w:t> </w:t>
      </w:r>
      <w:bookmarkEnd w:id="0"/>
      <w:r w:rsidRPr="00877019">
        <w:rPr>
          <w:rFonts w:asciiTheme="minorHAnsi" w:hAnsiTheme="minorHAnsi" w:cstheme="minorHAnsi"/>
          <w:szCs w:val="22"/>
        </w:rPr>
        <w:fldChar w:fldCharType="end"/>
      </w:r>
    </w:p>
    <w:bookmarkStart w:id="1" w:name="Text4"/>
    <w:p w:rsidR="00877019" w:rsidRPr="00877019" w:rsidRDefault="00877019" w:rsidP="00877019">
      <w:pPr>
        <w:tabs>
          <w:tab w:val="left" w:pos="1620"/>
        </w:tabs>
        <w:spacing w:before="60"/>
        <w:ind w:left="1620"/>
        <w:rPr>
          <w:rFonts w:cstheme="minorHAnsi"/>
          <w:sz w:val="22"/>
        </w:rPr>
      </w:pPr>
      <w:r w:rsidRPr="00877019">
        <w:rPr>
          <w:rFonts w:cstheme="minorHAnsi"/>
          <w:sz w:val="22"/>
        </w:rPr>
        <w:fldChar w:fldCharType="begin">
          <w:ffData>
            <w:name w:val="Text4"/>
            <w:enabled/>
            <w:calcOnExit w:val="0"/>
            <w:textInput/>
          </w:ffData>
        </w:fldChar>
      </w:r>
      <w:r w:rsidRPr="00877019">
        <w:rPr>
          <w:rFonts w:cstheme="minorHAnsi"/>
          <w:sz w:val="22"/>
        </w:rPr>
        <w:instrText xml:space="preserve"> FORMTEXT </w:instrText>
      </w:r>
      <w:r w:rsidRPr="00877019">
        <w:rPr>
          <w:rFonts w:cstheme="minorHAnsi"/>
          <w:sz w:val="22"/>
        </w:rPr>
      </w:r>
      <w:r w:rsidRPr="00877019">
        <w:rPr>
          <w:rFonts w:cstheme="minorHAnsi"/>
          <w:sz w:val="22"/>
        </w:rPr>
        <w:fldChar w:fldCharType="separate"/>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sz w:val="22"/>
        </w:rPr>
        <w:fldChar w:fldCharType="end"/>
      </w:r>
      <w:bookmarkEnd w:id="1"/>
    </w:p>
    <w:p w:rsidR="00877019" w:rsidRPr="00877019" w:rsidRDefault="00877019" w:rsidP="00877019">
      <w:pPr>
        <w:tabs>
          <w:tab w:val="left" w:pos="1620"/>
        </w:tabs>
        <w:spacing w:before="60"/>
        <w:ind w:left="1620"/>
        <w:rPr>
          <w:rFonts w:cstheme="minorHAnsi"/>
          <w:sz w:val="22"/>
        </w:rPr>
      </w:pPr>
      <w:r w:rsidRPr="00877019">
        <w:rPr>
          <w:rFonts w:cstheme="minorHAnsi"/>
          <w:sz w:val="22"/>
        </w:rPr>
        <w:fldChar w:fldCharType="begin">
          <w:ffData>
            <w:name w:val="Text4"/>
            <w:enabled/>
            <w:calcOnExit w:val="0"/>
            <w:textInput/>
          </w:ffData>
        </w:fldChar>
      </w:r>
      <w:r w:rsidRPr="00877019">
        <w:rPr>
          <w:rFonts w:cstheme="minorHAnsi"/>
          <w:sz w:val="22"/>
        </w:rPr>
        <w:instrText xml:space="preserve"> FORMTEXT </w:instrText>
      </w:r>
      <w:r w:rsidRPr="00877019">
        <w:rPr>
          <w:rFonts w:cstheme="minorHAnsi"/>
          <w:sz w:val="22"/>
        </w:rPr>
      </w:r>
      <w:r w:rsidRPr="00877019">
        <w:rPr>
          <w:rFonts w:cstheme="minorHAnsi"/>
          <w:sz w:val="22"/>
        </w:rPr>
        <w:fldChar w:fldCharType="separate"/>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sz w:val="22"/>
        </w:rPr>
        <w:fldChar w:fldCharType="end"/>
      </w:r>
    </w:p>
    <w:p w:rsidR="00877019" w:rsidRPr="00877019" w:rsidRDefault="00877019" w:rsidP="00877019">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877019">
        <w:rPr>
          <w:rFonts w:asciiTheme="minorHAnsi" w:hAnsiTheme="minorHAnsi" w:cstheme="minorHAnsi"/>
          <w:szCs w:val="22"/>
        </w:rPr>
        <w:tab/>
      </w:r>
      <w:r w:rsidRPr="00877019">
        <w:rPr>
          <w:rFonts w:asciiTheme="minorHAnsi" w:hAnsiTheme="minorHAnsi" w:cstheme="minorHAnsi"/>
          <w:szCs w:val="22"/>
        </w:rPr>
        <w:fldChar w:fldCharType="begin">
          <w:ffData>
            <w:name w:val="Text4"/>
            <w:enabled/>
            <w:calcOnExit w:val="0"/>
            <w:textInput/>
          </w:ffData>
        </w:fldChar>
      </w:r>
      <w:r w:rsidRPr="00877019">
        <w:rPr>
          <w:rFonts w:asciiTheme="minorHAnsi" w:hAnsiTheme="minorHAnsi" w:cstheme="minorHAnsi"/>
          <w:szCs w:val="22"/>
        </w:rPr>
        <w:instrText xml:space="preserve"> FORMTEXT </w:instrText>
      </w:r>
      <w:r w:rsidRPr="00877019">
        <w:rPr>
          <w:rFonts w:asciiTheme="minorHAnsi" w:hAnsiTheme="minorHAnsi" w:cstheme="minorHAnsi"/>
          <w:szCs w:val="22"/>
        </w:rPr>
      </w:r>
      <w:r w:rsidRPr="00877019">
        <w:rPr>
          <w:rFonts w:asciiTheme="minorHAnsi" w:hAnsiTheme="minorHAnsi" w:cstheme="minorHAnsi"/>
          <w:szCs w:val="22"/>
        </w:rPr>
        <w:fldChar w:fldCharType="separate"/>
      </w:r>
      <w:r w:rsidRPr="00877019">
        <w:rPr>
          <w:rFonts w:asciiTheme="minorHAnsi" w:hAnsiTheme="minorHAnsi" w:cstheme="minorHAnsi"/>
          <w:noProof/>
          <w:szCs w:val="22"/>
        </w:rPr>
        <w:t> </w:t>
      </w:r>
      <w:r w:rsidRPr="00877019">
        <w:rPr>
          <w:rFonts w:asciiTheme="minorHAnsi" w:hAnsiTheme="minorHAnsi" w:cstheme="minorHAnsi"/>
          <w:noProof/>
          <w:szCs w:val="22"/>
        </w:rPr>
        <w:t> </w:t>
      </w:r>
      <w:r w:rsidRPr="00877019">
        <w:rPr>
          <w:rFonts w:asciiTheme="minorHAnsi" w:hAnsiTheme="minorHAnsi" w:cstheme="minorHAnsi"/>
          <w:noProof/>
          <w:szCs w:val="22"/>
        </w:rPr>
        <w:t> </w:t>
      </w:r>
      <w:r w:rsidRPr="00877019">
        <w:rPr>
          <w:rFonts w:asciiTheme="minorHAnsi" w:hAnsiTheme="minorHAnsi" w:cstheme="minorHAnsi"/>
          <w:noProof/>
          <w:szCs w:val="22"/>
        </w:rPr>
        <w:t> </w:t>
      </w:r>
      <w:r w:rsidRPr="00877019">
        <w:rPr>
          <w:rFonts w:asciiTheme="minorHAnsi" w:hAnsiTheme="minorHAnsi" w:cstheme="minorHAnsi"/>
          <w:noProof/>
          <w:szCs w:val="22"/>
        </w:rPr>
        <w:t> </w:t>
      </w:r>
      <w:r w:rsidRPr="00877019">
        <w:rPr>
          <w:rFonts w:asciiTheme="minorHAnsi" w:hAnsiTheme="minorHAnsi" w:cstheme="minorHAnsi"/>
          <w:szCs w:val="22"/>
        </w:rPr>
        <w:fldChar w:fldCharType="end"/>
      </w:r>
    </w:p>
    <w:p w:rsidR="00877019" w:rsidRPr="00877019" w:rsidRDefault="00877019" w:rsidP="00877019">
      <w:pPr>
        <w:tabs>
          <w:tab w:val="left" w:pos="1620"/>
        </w:tabs>
        <w:spacing w:before="60"/>
        <w:rPr>
          <w:rFonts w:cstheme="minorHAnsi"/>
          <w:sz w:val="22"/>
          <w:lang w:val="de-DE"/>
        </w:rPr>
      </w:pPr>
      <w:r w:rsidRPr="00877019">
        <w:rPr>
          <w:rFonts w:cstheme="minorHAnsi"/>
          <w:sz w:val="22"/>
        </w:rPr>
        <w:tab/>
      </w:r>
      <w:r w:rsidRPr="00877019">
        <w:rPr>
          <w:rFonts w:cstheme="minorHAnsi"/>
          <w:sz w:val="22"/>
          <w:lang w:val="de-DE"/>
        </w:rPr>
        <w:t xml:space="preserve">Schaeffler Lieferantennr.: </w:t>
      </w:r>
      <w:r w:rsidRPr="00877019">
        <w:rPr>
          <w:rFonts w:cstheme="minorHAnsi"/>
          <w:sz w:val="22"/>
        </w:rPr>
        <w:fldChar w:fldCharType="begin">
          <w:ffData>
            <w:name w:val="Text4"/>
            <w:enabled/>
            <w:calcOnExit w:val="0"/>
            <w:textInput/>
          </w:ffData>
        </w:fldChar>
      </w:r>
      <w:r w:rsidRPr="00877019">
        <w:rPr>
          <w:rFonts w:cstheme="minorHAnsi"/>
          <w:sz w:val="22"/>
          <w:lang w:val="de-DE"/>
        </w:rPr>
        <w:instrText xml:space="preserve"> FORMTEXT </w:instrText>
      </w:r>
      <w:r w:rsidRPr="00877019">
        <w:rPr>
          <w:rFonts w:cstheme="minorHAnsi"/>
          <w:sz w:val="22"/>
        </w:rPr>
      </w:r>
      <w:r w:rsidRPr="00877019">
        <w:rPr>
          <w:rFonts w:cstheme="minorHAnsi"/>
          <w:sz w:val="22"/>
        </w:rPr>
        <w:fldChar w:fldCharType="separate"/>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sz w:val="22"/>
        </w:rPr>
        <w:fldChar w:fldCharType="end"/>
      </w:r>
    </w:p>
    <w:p w:rsidR="00877019" w:rsidRPr="00877019" w:rsidRDefault="00877019" w:rsidP="00877019">
      <w:pPr>
        <w:tabs>
          <w:tab w:val="left" w:pos="1620"/>
        </w:tabs>
        <w:spacing w:before="60"/>
        <w:rPr>
          <w:rFonts w:cstheme="minorHAnsi"/>
          <w:sz w:val="22"/>
          <w:lang w:val="de-DE"/>
        </w:rPr>
      </w:pPr>
      <w:r w:rsidRPr="00877019">
        <w:rPr>
          <w:rFonts w:cstheme="minorHAnsi"/>
          <w:sz w:val="22"/>
          <w:lang w:val="de-DE"/>
        </w:rPr>
        <w:tab/>
      </w:r>
      <w:bookmarkStart w:id="2" w:name="Text6"/>
      <w:r w:rsidRPr="00877019">
        <w:rPr>
          <w:rFonts w:cstheme="minorHAnsi"/>
          <w:sz w:val="22"/>
          <w:lang w:val="de-DE"/>
        </w:rPr>
        <w:t xml:space="preserve">UPIK/DUNS-Nr.: </w:t>
      </w:r>
      <w:r w:rsidRPr="00877019">
        <w:rPr>
          <w:rFonts w:cstheme="minorHAnsi"/>
          <w:sz w:val="22"/>
        </w:rPr>
        <w:fldChar w:fldCharType="begin">
          <w:ffData>
            <w:name w:val="Text4"/>
            <w:enabled/>
            <w:calcOnExit w:val="0"/>
            <w:textInput/>
          </w:ffData>
        </w:fldChar>
      </w:r>
      <w:r w:rsidRPr="00877019">
        <w:rPr>
          <w:rFonts w:cstheme="minorHAnsi"/>
          <w:sz w:val="22"/>
          <w:lang w:val="de-DE"/>
        </w:rPr>
        <w:instrText xml:space="preserve"> FORMTEXT </w:instrText>
      </w:r>
      <w:r w:rsidRPr="00877019">
        <w:rPr>
          <w:rFonts w:cstheme="minorHAnsi"/>
          <w:sz w:val="22"/>
        </w:rPr>
      </w:r>
      <w:r w:rsidRPr="00877019">
        <w:rPr>
          <w:rFonts w:cstheme="minorHAnsi"/>
          <w:sz w:val="22"/>
        </w:rPr>
        <w:fldChar w:fldCharType="separate"/>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noProof/>
          <w:sz w:val="22"/>
        </w:rPr>
        <w:t> </w:t>
      </w:r>
      <w:r w:rsidRPr="00877019">
        <w:rPr>
          <w:rFonts w:cstheme="minorHAnsi"/>
          <w:sz w:val="22"/>
        </w:rPr>
        <w:fldChar w:fldCharType="end"/>
      </w:r>
      <w:bookmarkEnd w:id="2"/>
    </w:p>
    <w:p w:rsidR="00877019" w:rsidRPr="00877019" w:rsidRDefault="00877019" w:rsidP="00877019">
      <w:pPr>
        <w:pStyle w:val="StandardZentriert"/>
        <w:tabs>
          <w:tab w:val="clear" w:pos="2552"/>
          <w:tab w:val="clear" w:pos="4536"/>
          <w:tab w:val="clear" w:pos="6804"/>
          <w:tab w:val="left" w:pos="1620"/>
        </w:tabs>
        <w:jc w:val="left"/>
        <w:rPr>
          <w:rFonts w:asciiTheme="minorHAnsi" w:hAnsiTheme="minorHAnsi" w:cstheme="minorHAnsi"/>
          <w:szCs w:val="22"/>
        </w:rPr>
      </w:pPr>
      <w:r w:rsidRPr="00877019">
        <w:rPr>
          <w:rFonts w:asciiTheme="minorHAnsi" w:hAnsiTheme="minorHAnsi" w:cstheme="minorHAnsi"/>
          <w:szCs w:val="22"/>
        </w:rPr>
        <w:tab/>
      </w:r>
    </w:p>
    <w:p w:rsidR="00877019" w:rsidRPr="00877019" w:rsidRDefault="00877019" w:rsidP="00877019">
      <w:pPr>
        <w:pStyle w:val="StandardZentriert"/>
        <w:tabs>
          <w:tab w:val="clear" w:pos="2552"/>
          <w:tab w:val="clear" w:pos="4536"/>
          <w:tab w:val="clear" w:pos="6804"/>
          <w:tab w:val="left" w:pos="1620"/>
        </w:tabs>
        <w:jc w:val="left"/>
        <w:rPr>
          <w:rFonts w:asciiTheme="minorHAnsi" w:hAnsiTheme="minorHAnsi" w:cstheme="minorHAnsi"/>
          <w:szCs w:val="22"/>
        </w:rPr>
      </w:pPr>
      <w:r w:rsidRPr="00877019">
        <w:rPr>
          <w:rFonts w:asciiTheme="minorHAnsi" w:hAnsiTheme="minorHAnsi" w:cstheme="minorHAnsi"/>
          <w:szCs w:val="22"/>
        </w:rPr>
        <w:tab/>
        <w:t>(nachstehend Lieferant genannt)</w:t>
      </w:r>
    </w:p>
    <w:p w:rsidR="00877019" w:rsidRPr="00877019" w:rsidRDefault="00877019" w:rsidP="00877019">
      <w:pPr>
        <w:rPr>
          <w:rFonts w:cstheme="minorHAnsi"/>
          <w:sz w:val="22"/>
          <w:lang w:val="de-DE"/>
        </w:rPr>
      </w:pPr>
    </w:p>
    <w:p w:rsidR="00877019" w:rsidRPr="00877019" w:rsidRDefault="00877019" w:rsidP="00877019">
      <w:pPr>
        <w:rPr>
          <w:rFonts w:cstheme="minorHAnsi"/>
          <w:sz w:val="22"/>
          <w:lang w:val="de-DE"/>
        </w:rPr>
      </w:pPr>
    </w:p>
    <w:p w:rsidR="00877019" w:rsidRPr="00877019" w:rsidRDefault="00877019" w:rsidP="00877019">
      <w:pPr>
        <w:rPr>
          <w:rFonts w:cstheme="minorHAnsi"/>
          <w:sz w:val="22"/>
          <w:lang w:val="de-DE"/>
        </w:rPr>
      </w:pPr>
    </w:p>
    <w:p w:rsidR="00877019" w:rsidRPr="00877019" w:rsidRDefault="00877019" w:rsidP="00877019">
      <w:pPr>
        <w:rPr>
          <w:rFonts w:cstheme="minorHAnsi"/>
          <w:sz w:val="22"/>
          <w:lang w:val="de-DE"/>
        </w:rPr>
      </w:pPr>
    </w:p>
    <w:p w:rsidR="00877019" w:rsidRPr="00877019" w:rsidRDefault="00877019" w:rsidP="00877019">
      <w:pPr>
        <w:tabs>
          <w:tab w:val="left" w:pos="1620"/>
        </w:tabs>
        <w:spacing w:before="60"/>
        <w:rPr>
          <w:rFonts w:cstheme="minorHAnsi"/>
          <w:color w:val="auto"/>
          <w:sz w:val="22"/>
          <w:lang w:val="de-DE"/>
        </w:rPr>
      </w:pPr>
      <w:r w:rsidRPr="00877019">
        <w:rPr>
          <w:rFonts w:cstheme="minorHAnsi"/>
          <w:sz w:val="22"/>
          <w:lang w:val="de-DE"/>
        </w:rPr>
        <w:t>und</w:t>
      </w:r>
      <w:r w:rsidRPr="00877019">
        <w:rPr>
          <w:rFonts w:cstheme="minorHAnsi"/>
          <w:sz w:val="22"/>
          <w:lang w:val="de-DE"/>
        </w:rPr>
        <w:tab/>
      </w:r>
      <w:r w:rsidRPr="00877019">
        <w:rPr>
          <w:rFonts w:cstheme="minorHAnsi"/>
          <w:color w:val="auto"/>
          <w:sz w:val="22"/>
          <w:lang w:val="de-DE"/>
        </w:rPr>
        <w:t xml:space="preserve">Schaeffler Technologies AG &amp; Co. KG </w:t>
      </w:r>
    </w:p>
    <w:p w:rsidR="00877019" w:rsidRPr="00877019" w:rsidRDefault="00877019" w:rsidP="00877019">
      <w:pPr>
        <w:spacing w:before="60"/>
        <w:ind w:left="1620"/>
        <w:rPr>
          <w:rFonts w:cstheme="minorHAnsi"/>
          <w:sz w:val="22"/>
          <w:lang w:val="de-DE"/>
        </w:rPr>
      </w:pPr>
      <w:r w:rsidRPr="00877019">
        <w:rPr>
          <w:rFonts w:cstheme="minorHAnsi"/>
          <w:color w:val="auto"/>
          <w:sz w:val="22"/>
          <w:lang w:val="de-DE"/>
        </w:rPr>
        <w:t xml:space="preserve">Industriestraße 1 </w:t>
      </w:r>
      <w:r w:rsidRPr="00877019">
        <w:rPr>
          <w:rFonts w:cstheme="minorHAnsi"/>
          <w:sz w:val="22"/>
          <w:lang w:val="de-DE"/>
        </w:rPr>
        <w:t>- 3</w:t>
      </w:r>
    </w:p>
    <w:p w:rsidR="00877019" w:rsidRPr="00877019" w:rsidRDefault="00877019" w:rsidP="00877019">
      <w:pPr>
        <w:spacing w:before="60"/>
        <w:ind w:left="1620"/>
        <w:rPr>
          <w:rFonts w:cstheme="minorHAnsi"/>
          <w:sz w:val="22"/>
          <w:lang w:val="de-DE"/>
        </w:rPr>
      </w:pPr>
      <w:r w:rsidRPr="00877019">
        <w:rPr>
          <w:rFonts w:cstheme="minorHAnsi"/>
          <w:sz w:val="22"/>
          <w:lang w:val="de-DE"/>
        </w:rPr>
        <w:t xml:space="preserve">91074 Herzogenaurach </w:t>
      </w:r>
    </w:p>
    <w:p w:rsidR="00877019" w:rsidRPr="00877019" w:rsidRDefault="00877019" w:rsidP="00877019">
      <w:pPr>
        <w:spacing w:before="60"/>
        <w:ind w:left="1620"/>
        <w:rPr>
          <w:rFonts w:cstheme="minorHAnsi"/>
          <w:sz w:val="22"/>
          <w:lang w:val="de-DE"/>
        </w:rPr>
      </w:pPr>
      <w:r w:rsidRPr="00877019">
        <w:rPr>
          <w:rFonts w:cstheme="minorHAnsi"/>
          <w:sz w:val="22"/>
          <w:lang w:val="de-DE"/>
        </w:rPr>
        <w:t>Deutschland</w:t>
      </w:r>
    </w:p>
    <w:p w:rsidR="00877019" w:rsidRPr="00877019" w:rsidRDefault="00877019" w:rsidP="00877019">
      <w:pPr>
        <w:rPr>
          <w:rFonts w:cstheme="minorHAnsi"/>
          <w:sz w:val="22"/>
          <w:lang w:val="de-DE"/>
        </w:rPr>
      </w:pPr>
    </w:p>
    <w:p w:rsidR="00877019" w:rsidRPr="00877019" w:rsidRDefault="00877019" w:rsidP="00877019">
      <w:pPr>
        <w:pStyle w:val="StandardZentriert"/>
        <w:tabs>
          <w:tab w:val="clear" w:pos="2552"/>
          <w:tab w:val="left" w:pos="1620"/>
        </w:tabs>
        <w:jc w:val="left"/>
        <w:rPr>
          <w:rFonts w:asciiTheme="minorHAnsi" w:hAnsiTheme="minorHAnsi" w:cstheme="minorHAnsi"/>
          <w:szCs w:val="22"/>
        </w:rPr>
      </w:pPr>
      <w:r w:rsidRPr="00877019">
        <w:rPr>
          <w:rFonts w:asciiTheme="minorHAnsi" w:hAnsiTheme="minorHAnsi" w:cstheme="minorHAnsi"/>
          <w:szCs w:val="22"/>
        </w:rPr>
        <w:tab/>
        <w:t>(nachstehend Schaeffler genannt)</w:t>
      </w:r>
    </w:p>
    <w:p w:rsidR="00877019" w:rsidRPr="00877019" w:rsidRDefault="00877019" w:rsidP="00877019">
      <w:pPr>
        <w:rPr>
          <w:rFonts w:cstheme="minorHAnsi"/>
          <w:sz w:val="22"/>
          <w:u w:val="single"/>
          <w:lang w:val="de-DE"/>
        </w:rPr>
      </w:pPr>
    </w:p>
    <w:p w:rsidR="00877019" w:rsidRPr="00877019" w:rsidRDefault="00877019" w:rsidP="00877019">
      <w:pPr>
        <w:rPr>
          <w:rFonts w:cstheme="minorHAnsi"/>
          <w:sz w:val="22"/>
          <w:u w:val="single"/>
          <w:lang w:val="de-DE"/>
        </w:rPr>
      </w:pPr>
    </w:p>
    <w:p w:rsidR="00877019" w:rsidRPr="00877019" w:rsidRDefault="00877019" w:rsidP="00877019">
      <w:pPr>
        <w:rPr>
          <w:rFonts w:cstheme="minorHAnsi"/>
          <w:sz w:val="22"/>
          <w:u w:val="single"/>
          <w:lang w:val="de-DE"/>
        </w:rPr>
      </w:pPr>
    </w:p>
    <w:p w:rsidR="00877019" w:rsidRDefault="00877019" w:rsidP="00877019">
      <w:pPr>
        <w:rPr>
          <w:rFonts w:cstheme="minorHAnsi"/>
          <w:sz w:val="22"/>
          <w:u w:val="single"/>
          <w:lang w:val="de-DE"/>
        </w:rPr>
      </w:pPr>
    </w:p>
    <w:p w:rsidR="00877019" w:rsidRPr="00877019" w:rsidRDefault="00877019" w:rsidP="00877019">
      <w:pPr>
        <w:rPr>
          <w:rFonts w:cstheme="minorHAnsi"/>
          <w:sz w:val="22"/>
          <w:u w:val="single"/>
          <w:lang w:val="de-DE"/>
        </w:rPr>
      </w:pPr>
    </w:p>
    <w:p w:rsidR="00877019" w:rsidRPr="00877019" w:rsidRDefault="00877019" w:rsidP="00877019">
      <w:pPr>
        <w:rPr>
          <w:rFonts w:cstheme="minorHAnsi"/>
          <w:sz w:val="22"/>
          <w:u w:val="single"/>
          <w:lang w:val="de-DE"/>
        </w:rPr>
      </w:pPr>
    </w:p>
    <w:p w:rsidR="00877019" w:rsidRPr="00877019" w:rsidRDefault="00877019" w:rsidP="00877019">
      <w:pPr>
        <w:rPr>
          <w:rFonts w:cstheme="minorHAnsi"/>
          <w:sz w:val="22"/>
          <w:u w:val="single"/>
          <w:lang w:val="de-DE"/>
        </w:rPr>
      </w:pPr>
    </w:p>
    <w:p w:rsidR="00877019" w:rsidRPr="00877019" w:rsidRDefault="00877019" w:rsidP="00877019">
      <w:pPr>
        <w:pStyle w:val="StandardBlock"/>
        <w:rPr>
          <w:rFonts w:asciiTheme="minorHAnsi" w:hAnsiTheme="minorHAnsi" w:cstheme="minorHAnsi"/>
          <w:szCs w:val="22"/>
          <w:u w:val="single"/>
        </w:rPr>
      </w:pPr>
      <w:r w:rsidRPr="00877019">
        <w:rPr>
          <w:rFonts w:asciiTheme="minorHAnsi" w:hAnsiTheme="minorHAnsi" w:cstheme="minorHAnsi"/>
          <w:b/>
          <w:szCs w:val="22"/>
        </w:rPr>
        <w:t>Präambel</w:t>
      </w:r>
    </w:p>
    <w:p w:rsidR="00877019" w:rsidRPr="00877019" w:rsidRDefault="00877019" w:rsidP="00877019">
      <w:pPr>
        <w:pStyle w:val="StandardBlock"/>
        <w:rPr>
          <w:rFonts w:asciiTheme="minorHAnsi" w:hAnsiTheme="minorHAnsi" w:cstheme="minorHAnsi"/>
          <w:szCs w:val="22"/>
        </w:rPr>
      </w:pPr>
      <w:r w:rsidRPr="00877019">
        <w:rPr>
          <w:rFonts w:asciiTheme="minorHAnsi" w:hAnsiTheme="minorHAnsi" w:cstheme="minorHAnsi"/>
          <w:szCs w:val="22"/>
        </w:rPr>
        <w:t xml:space="preserve">Die Wettbewerbsfähigkeit und Position der Schaeffler Gruppe auf dem Weltmarkt wird durch die Qualität ihrer Produkte entscheidend bestimmt. Die einwandfreie Funktionalität und Zuverlässigkeit der zugekauften Software und die damit verbundenen Entwicklungstätigkeiten haben dabei unmittelbaren Einfluss auf die Qualität der Erzeugnisse der Schaeffler Gruppe. </w:t>
      </w:r>
    </w:p>
    <w:p w:rsidR="00877019" w:rsidRPr="00877019" w:rsidRDefault="00877019" w:rsidP="00877019">
      <w:pPr>
        <w:pStyle w:val="StandardBlock"/>
        <w:rPr>
          <w:rFonts w:asciiTheme="minorHAnsi" w:hAnsiTheme="minorHAnsi" w:cstheme="minorHAnsi"/>
          <w:szCs w:val="22"/>
        </w:rPr>
      </w:pPr>
      <w:r w:rsidRPr="00877019">
        <w:rPr>
          <w:rFonts w:asciiTheme="minorHAnsi" w:hAnsiTheme="minorHAnsi" w:cstheme="minorHAnsi"/>
          <w:szCs w:val="22"/>
        </w:rPr>
        <w:t xml:space="preserve">Diese </w:t>
      </w:r>
      <w:r w:rsidRPr="00877019">
        <w:rPr>
          <w:rFonts w:asciiTheme="minorHAnsi" w:hAnsiTheme="minorHAnsi" w:cstheme="minorHAnsi"/>
          <w:i/>
          <w:iCs/>
          <w:szCs w:val="22"/>
        </w:rPr>
        <w:t>Qualitätssicherungsvereinbarung mit Softwarelieferanten (QSV)</w:t>
      </w:r>
      <w:r w:rsidRPr="00877019">
        <w:rPr>
          <w:rFonts w:asciiTheme="minorHAnsi" w:hAnsiTheme="minorHAnsi" w:cstheme="minorHAnsi"/>
          <w:szCs w:val="22"/>
        </w:rPr>
        <w:t xml:space="preserve"> ist die verbindliche Festlegung der technischen und organisatorischen Rahmenbedingungen, bezüglich sämtlicher Lieferungen und Leistungen an die Schaeffler Gruppe (d. h. Schaeffler AG und alle Gesellschaften an denen die Schaeffler AG direkt oder indirekt mehrheitlich beteiligt ist), die zur Erreichung des gemeinsam angestrebten Qualitätszieles „Null-Fehler“ erforderlich sind. Sie beschreibt die Mindestanforderungen an das Qualitätsmanagementsystem des Lieferanten.</w:t>
      </w:r>
    </w:p>
    <w:p w:rsidR="00877019" w:rsidRDefault="00877019" w:rsidP="00877019">
      <w:pPr>
        <w:rPr>
          <w:rFonts w:cstheme="minorHAnsi"/>
          <w:sz w:val="22"/>
          <w:lang w:val="de-DE"/>
        </w:rPr>
      </w:pPr>
      <w:r w:rsidRPr="00877019">
        <w:rPr>
          <w:rFonts w:cstheme="minorHAnsi"/>
          <w:sz w:val="22"/>
          <w:lang w:val="de-DE"/>
        </w:rPr>
        <w:t xml:space="preserve">Der Abschluss dieser </w:t>
      </w:r>
      <w:r w:rsidRPr="00877019">
        <w:rPr>
          <w:rFonts w:cstheme="minorHAnsi"/>
          <w:i/>
          <w:sz w:val="22"/>
          <w:lang w:val="de-DE"/>
        </w:rPr>
        <w:t>Qualitätssicherungsvereinbarung</w:t>
      </w:r>
      <w:r w:rsidRPr="00877019">
        <w:rPr>
          <w:rFonts w:cstheme="minorHAnsi"/>
          <w:sz w:val="22"/>
          <w:lang w:val="de-DE"/>
        </w:rPr>
        <w:t xml:space="preserve"> stellt einen unverzichtbaren Schritt für eine gemeinsame geschäftliche Zukunft mit der Schaeffler Gruppe dar.</w:t>
      </w:r>
      <w:r>
        <w:rPr>
          <w:rFonts w:cstheme="minorHAnsi"/>
          <w:sz w:val="22"/>
          <w:lang w:val="de-DE"/>
        </w:rPr>
        <w:br w:type="page"/>
      </w:r>
    </w:p>
    <w:p w:rsidR="00877019" w:rsidRPr="00877019" w:rsidRDefault="00877019" w:rsidP="00877019">
      <w:pPr>
        <w:pStyle w:val="StandardZentriert"/>
        <w:spacing w:before="80" w:after="120"/>
        <w:jc w:val="left"/>
        <w:rPr>
          <w:rFonts w:asciiTheme="minorHAnsi" w:hAnsiTheme="minorHAnsi" w:cstheme="minorHAnsi"/>
          <w:b/>
          <w:sz w:val="28"/>
          <w:szCs w:val="28"/>
        </w:rPr>
      </w:pPr>
      <w:r w:rsidRPr="00877019">
        <w:rPr>
          <w:rFonts w:asciiTheme="minorHAnsi" w:hAnsiTheme="minorHAnsi" w:cstheme="minorHAnsi"/>
          <w:b/>
          <w:sz w:val="28"/>
          <w:szCs w:val="28"/>
        </w:rPr>
        <w:lastRenderedPageBreak/>
        <w:t>Inhaltsverzeichnis</w:t>
      </w:r>
    </w:p>
    <w:p w:rsidR="00723D92" w:rsidRDefault="00877019">
      <w:pPr>
        <w:pStyle w:val="Verzeichnis1"/>
        <w:rPr>
          <w:rFonts w:asciiTheme="minorHAnsi" w:eastAsiaTheme="minorEastAsia" w:hAnsiTheme="minorHAnsi" w:cstheme="minorBidi"/>
          <w:b w:val="0"/>
          <w:szCs w:val="22"/>
        </w:rPr>
      </w:pPr>
      <w:r w:rsidRPr="00877019">
        <w:rPr>
          <w:rFonts w:asciiTheme="minorHAnsi" w:hAnsiTheme="minorHAnsi" w:cstheme="minorHAnsi"/>
        </w:rPr>
        <w:fldChar w:fldCharType="begin"/>
      </w:r>
      <w:r w:rsidRPr="00877019">
        <w:rPr>
          <w:rFonts w:asciiTheme="minorHAnsi" w:hAnsiTheme="minorHAnsi" w:cstheme="minorHAnsi"/>
        </w:rPr>
        <w:instrText xml:space="preserve"> TOC \o "1-3" \h \z \u </w:instrText>
      </w:r>
      <w:r w:rsidRPr="00877019">
        <w:rPr>
          <w:rFonts w:asciiTheme="minorHAnsi" w:hAnsiTheme="minorHAnsi" w:cstheme="minorHAnsi"/>
        </w:rPr>
        <w:fldChar w:fldCharType="separate"/>
      </w:r>
      <w:hyperlink w:anchor="_Toc53733110" w:history="1">
        <w:r w:rsidR="00723D92" w:rsidRPr="00307531">
          <w:rPr>
            <w:rStyle w:val="Hyperlink"/>
            <w:rFonts w:cstheme="minorHAnsi"/>
          </w:rPr>
          <w:t>1</w:t>
        </w:r>
        <w:r w:rsidR="00723D92">
          <w:rPr>
            <w:rFonts w:asciiTheme="minorHAnsi" w:eastAsiaTheme="minorEastAsia" w:hAnsiTheme="minorHAnsi" w:cstheme="minorBidi"/>
            <w:b w:val="0"/>
            <w:szCs w:val="22"/>
          </w:rPr>
          <w:tab/>
        </w:r>
        <w:r w:rsidR="00723D92" w:rsidRPr="00307531">
          <w:rPr>
            <w:rStyle w:val="Hyperlink"/>
            <w:rFonts w:cstheme="minorHAnsi"/>
          </w:rPr>
          <w:t>Verantwortung des Lieferanten für die Qualität seiner Produkte und Leistungen</w:t>
        </w:r>
        <w:r w:rsidR="00723D92">
          <w:rPr>
            <w:webHidden/>
          </w:rPr>
          <w:tab/>
        </w:r>
        <w:r w:rsidR="00723D92">
          <w:rPr>
            <w:webHidden/>
          </w:rPr>
          <w:fldChar w:fldCharType="begin"/>
        </w:r>
        <w:r w:rsidR="00723D92">
          <w:rPr>
            <w:webHidden/>
          </w:rPr>
          <w:instrText xml:space="preserve"> PAGEREF _Toc53733110 \h </w:instrText>
        </w:r>
        <w:r w:rsidR="00723D92">
          <w:rPr>
            <w:webHidden/>
          </w:rPr>
        </w:r>
        <w:r w:rsidR="00723D92">
          <w:rPr>
            <w:webHidden/>
          </w:rPr>
          <w:fldChar w:fldCharType="separate"/>
        </w:r>
        <w:r w:rsidR="00723D92">
          <w:rPr>
            <w:webHidden/>
          </w:rPr>
          <w:t>3</w:t>
        </w:r>
        <w:r w:rsidR="00723D92">
          <w:rPr>
            <w:webHidden/>
          </w:rPr>
          <w:fldChar w:fldCharType="end"/>
        </w:r>
      </w:hyperlink>
    </w:p>
    <w:p w:rsidR="00723D92" w:rsidRDefault="003F5FA0">
      <w:pPr>
        <w:pStyle w:val="Verzeichnis1"/>
        <w:rPr>
          <w:rFonts w:asciiTheme="minorHAnsi" w:eastAsiaTheme="minorEastAsia" w:hAnsiTheme="minorHAnsi" w:cstheme="minorBidi"/>
          <w:b w:val="0"/>
          <w:szCs w:val="22"/>
        </w:rPr>
      </w:pPr>
      <w:hyperlink w:anchor="_Toc53733111" w:history="1">
        <w:r w:rsidR="00723D92" w:rsidRPr="00307531">
          <w:rPr>
            <w:rStyle w:val="Hyperlink"/>
            <w:rFonts w:cstheme="minorHAnsi"/>
          </w:rPr>
          <w:t>2</w:t>
        </w:r>
        <w:r w:rsidR="00723D92">
          <w:rPr>
            <w:rFonts w:asciiTheme="minorHAnsi" w:eastAsiaTheme="minorEastAsia" w:hAnsiTheme="minorHAnsi" w:cstheme="minorBidi"/>
            <w:b w:val="0"/>
            <w:szCs w:val="22"/>
          </w:rPr>
          <w:tab/>
        </w:r>
        <w:r w:rsidR="00723D92" w:rsidRPr="00307531">
          <w:rPr>
            <w:rStyle w:val="Hyperlink"/>
            <w:rFonts w:cstheme="minorHAnsi"/>
          </w:rPr>
          <w:t>Qualitätsmanagementsystem</w:t>
        </w:r>
        <w:r w:rsidR="00723D92">
          <w:rPr>
            <w:webHidden/>
          </w:rPr>
          <w:tab/>
        </w:r>
        <w:r w:rsidR="00723D92">
          <w:rPr>
            <w:webHidden/>
          </w:rPr>
          <w:fldChar w:fldCharType="begin"/>
        </w:r>
        <w:r w:rsidR="00723D92">
          <w:rPr>
            <w:webHidden/>
          </w:rPr>
          <w:instrText xml:space="preserve"> PAGEREF _Toc53733111 \h </w:instrText>
        </w:r>
        <w:r w:rsidR="00723D92">
          <w:rPr>
            <w:webHidden/>
          </w:rPr>
        </w:r>
        <w:r w:rsidR="00723D92">
          <w:rPr>
            <w:webHidden/>
          </w:rPr>
          <w:fldChar w:fldCharType="separate"/>
        </w:r>
        <w:r w:rsidR="00723D92">
          <w:rPr>
            <w:webHidden/>
          </w:rPr>
          <w:t>3</w:t>
        </w:r>
        <w:r w:rsidR="00723D92">
          <w:rPr>
            <w:webHidden/>
          </w:rPr>
          <w:fldChar w:fldCharType="end"/>
        </w:r>
      </w:hyperlink>
    </w:p>
    <w:p w:rsidR="00723D92" w:rsidRDefault="003F5FA0">
      <w:pPr>
        <w:pStyle w:val="Verzeichnis2"/>
        <w:rPr>
          <w:rFonts w:asciiTheme="minorHAnsi" w:eastAsiaTheme="minorEastAsia" w:hAnsiTheme="minorHAnsi" w:cstheme="minorBidi"/>
          <w:szCs w:val="22"/>
        </w:rPr>
      </w:pPr>
      <w:hyperlink w:anchor="_Toc53733112" w:history="1">
        <w:r w:rsidR="00723D92" w:rsidRPr="00307531">
          <w:rPr>
            <w:rStyle w:val="Hyperlink"/>
            <w:rFonts w:cstheme="minorHAnsi"/>
          </w:rPr>
          <w:t>2.1</w:t>
        </w:r>
        <w:r w:rsidR="00723D92">
          <w:rPr>
            <w:rFonts w:asciiTheme="minorHAnsi" w:eastAsiaTheme="minorEastAsia" w:hAnsiTheme="minorHAnsi" w:cstheme="minorBidi"/>
            <w:szCs w:val="22"/>
          </w:rPr>
          <w:tab/>
        </w:r>
        <w:r w:rsidR="00723D92" w:rsidRPr="00307531">
          <w:rPr>
            <w:rStyle w:val="Hyperlink"/>
            <w:rFonts w:cstheme="minorHAnsi"/>
          </w:rPr>
          <w:t>Allgemeines</w:t>
        </w:r>
        <w:r w:rsidR="00723D92">
          <w:rPr>
            <w:webHidden/>
          </w:rPr>
          <w:tab/>
        </w:r>
        <w:r w:rsidR="00723D92">
          <w:rPr>
            <w:webHidden/>
          </w:rPr>
          <w:fldChar w:fldCharType="begin"/>
        </w:r>
        <w:r w:rsidR="00723D92">
          <w:rPr>
            <w:webHidden/>
          </w:rPr>
          <w:instrText xml:space="preserve"> PAGEREF _Toc53733112 \h </w:instrText>
        </w:r>
        <w:r w:rsidR="00723D92">
          <w:rPr>
            <w:webHidden/>
          </w:rPr>
        </w:r>
        <w:r w:rsidR="00723D92">
          <w:rPr>
            <w:webHidden/>
          </w:rPr>
          <w:fldChar w:fldCharType="separate"/>
        </w:r>
        <w:r w:rsidR="00723D92">
          <w:rPr>
            <w:webHidden/>
          </w:rPr>
          <w:t>3</w:t>
        </w:r>
        <w:r w:rsidR="00723D92">
          <w:rPr>
            <w:webHidden/>
          </w:rPr>
          <w:fldChar w:fldCharType="end"/>
        </w:r>
      </w:hyperlink>
    </w:p>
    <w:p w:rsidR="00723D92" w:rsidRDefault="003F5FA0">
      <w:pPr>
        <w:pStyle w:val="Verzeichnis2"/>
        <w:rPr>
          <w:rFonts w:asciiTheme="minorHAnsi" w:eastAsiaTheme="minorEastAsia" w:hAnsiTheme="minorHAnsi" w:cstheme="minorBidi"/>
          <w:szCs w:val="22"/>
        </w:rPr>
      </w:pPr>
      <w:hyperlink w:anchor="_Toc53733113" w:history="1">
        <w:r w:rsidR="00723D92" w:rsidRPr="00307531">
          <w:rPr>
            <w:rStyle w:val="Hyperlink"/>
            <w:rFonts w:cstheme="minorHAnsi"/>
          </w:rPr>
          <w:t>2.2</w:t>
        </w:r>
        <w:r w:rsidR="00723D92">
          <w:rPr>
            <w:rFonts w:asciiTheme="minorHAnsi" w:eastAsiaTheme="minorEastAsia" w:hAnsiTheme="minorHAnsi" w:cstheme="minorBidi"/>
            <w:szCs w:val="22"/>
          </w:rPr>
          <w:tab/>
        </w:r>
        <w:r w:rsidR="00723D92" w:rsidRPr="00307531">
          <w:rPr>
            <w:rStyle w:val="Hyperlink"/>
            <w:rFonts w:cstheme="minorHAnsi"/>
          </w:rPr>
          <w:t>Überprüfung des Qualitätsmanagementsystems und der Einhaltung der Entwicklungsprozesse</w:t>
        </w:r>
        <w:r w:rsidR="00723D92">
          <w:rPr>
            <w:webHidden/>
          </w:rPr>
          <w:tab/>
        </w:r>
        <w:r w:rsidR="00723D92">
          <w:rPr>
            <w:webHidden/>
          </w:rPr>
          <w:fldChar w:fldCharType="begin"/>
        </w:r>
        <w:r w:rsidR="00723D92">
          <w:rPr>
            <w:webHidden/>
          </w:rPr>
          <w:instrText xml:space="preserve"> PAGEREF _Toc53733113 \h </w:instrText>
        </w:r>
        <w:r w:rsidR="00723D92">
          <w:rPr>
            <w:webHidden/>
          </w:rPr>
        </w:r>
        <w:r w:rsidR="00723D92">
          <w:rPr>
            <w:webHidden/>
          </w:rPr>
          <w:fldChar w:fldCharType="separate"/>
        </w:r>
        <w:r w:rsidR="00723D92">
          <w:rPr>
            <w:webHidden/>
          </w:rPr>
          <w:t>3</w:t>
        </w:r>
        <w:r w:rsidR="00723D92">
          <w:rPr>
            <w:webHidden/>
          </w:rPr>
          <w:fldChar w:fldCharType="end"/>
        </w:r>
      </w:hyperlink>
    </w:p>
    <w:p w:rsidR="00723D92" w:rsidRDefault="003F5FA0">
      <w:pPr>
        <w:pStyle w:val="Verzeichnis1"/>
        <w:rPr>
          <w:rFonts w:asciiTheme="minorHAnsi" w:eastAsiaTheme="minorEastAsia" w:hAnsiTheme="minorHAnsi" w:cstheme="minorBidi"/>
          <w:b w:val="0"/>
          <w:szCs w:val="22"/>
        </w:rPr>
      </w:pPr>
      <w:hyperlink w:anchor="_Toc53733114" w:history="1">
        <w:r w:rsidR="00723D92" w:rsidRPr="00307531">
          <w:rPr>
            <w:rStyle w:val="Hyperlink"/>
            <w:rFonts w:cstheme="minorHAnsi"/>
          </w:rPr>
          <w:t>3</w:t>
        </w:r>
        <w:r w:rsidR="00723D92">
          <w:rPr>
            <w:rFonts w:asciiTheme="minorHAnsi" w:eastAsiaTheme="minorEastAsia" w:hAnsiTheme="minorHAnsi" w:cstheme="minorBidi"/>
            <w:b w:val="0"/>
            <w:szCs w:val="22"/>
          </w:rPr>
          <w:tab/>
        </w:r>
        <w:r w:rsidR="00723D92" w:rsidRPr="00307531">
          <w:rPr>
            <w:rStyle w:val="Hyperlink"/>
            <w:rFonts w:cstheme="minorHAnsi"/>
          </w:rPr>
          <w:t>Nachweis der Prozessqualität</w:t>
        </w:r>
        <w:r w:rsidR="00723D92">
          <w:rPr>
            <w:webHidden/>
          </w:rPr>
          <w:tab/>
        </w:r>
        <w:r w:rsidR="00723D92">
          <w:rPr>
            <w:webHidden/>
          </w:rPr>
          <w:fldChar w:fldCharType="begin"/>
        </w:r>
        <w:r w:rsidR="00723D92">
          <w:rPr>
            <w:webHidden/>
          </w:rPr>
          <w:instrText xml:space="preserve"> PAGEREF _Toc53733114 \h </w:instrText>
        </w:r>
        <w:r w:rsidR="00723D92">
          <w:rPr>
            <w:webHidden/>
          </w:rPr>
        </w:r>
        <w:r w:rsidR="00723D92">
          <w:rPr>
            <w:webHidden/>
          </w:rPr>
          <w:fldChar w:fldCharType="separate"/>
        </w:r>
        <w:r w:rsidR="00723D92">
          <w:rPr>
            <w:webHidden/>
          </w:rPr>
          <w:t>4</w:t>
        </w:r>
        <w:r w:rsidR="00723D92">
          <w:rPr>
            <w:webHidden/>
          </w:rPr>
          <w:fldChar w:fldCharType="end"/>
        </w:r>
      </w:hyperlink>
    </w:p>
    <w:p w:rsidR="00723D92" w:rsidRDefault="003F5FA0">
      <w:pPr>
        <w:pStyle w:val="Verzeichnis1"/>
        <w:rPr>
          <w:rFonts w:asciiTheme="minorHAnsi" w:eastAsiaTheme="minorEastAsia" w:hAnsiTheme="minorHAnsi" w:cstheme="minorBidi"/>
          <w:b w:val="0"/>
          <w:szCs w:val="22"/>
        </w:rPr>
      </w:pPr>
      <w:hyperlink w:anchor="_Toc53733115" w:history="1">
        <w:r w:rsidR="00723D92" w:rsidRPr="00307531">
          <w:rPr>
            <w:rStyle w:val="Hyperlink"/>
            <w:rFonts w:cstheme="minorHAnsi"/>
          </w:rPr>
          <w:t>4</w:t>
        </w:r>
        <w:r w:rsidR="00723D92">
          <w:rPr>
            <w:rFonts w:asciiTheme="minorHAnsi" w:eastAsiaTheme="minorEastAsia" w:hAnsiTheme="minorHAnsi" w:cstheme="minorBidi"/>
            <w:b w:val="0"/>
            <w:szCs w:val="22"/>
          </w:rPr>
          <w:tab/>
        </w:r>
        <w:r w:rsidR="00723D92" w:rsidRPr="00307531">
          <w:rPr>
            <w:rStyle w:val="Hyperlink"/>
            <w:rFonts w:cstheme="minorHAnsi"/>
          </w:rPr>
          <w:t>Software im Kontext Funktionaler Sicherheit</w:t>
        </w:r>
        <w:r w:rsidR="00723D92">
          <w:rPr>
            <w:webHidden/>
          </w:rPr>
          <w:tab/>
        </w:r>
        <w:r w:rsidR="00723D92">
          <w:rPr>
            <w:webHidden/>
          </w:rPr>
          <w:fldChar w:fldCharType="begin"/>
        </w:r>
        <w:r w:rsidR="00723D92">
          <w:rPr>
            <w:webHidden/>
          </w:rPr>
          <w:instrText xml:space="preserve"> PAGEREF _Toc53733115 \h </w:instrText>
        </w:r>
        <w:r w:rsidR="00723D92">
          <w:rPr>
            <w:webHidden/>
          </w:rPr>
        </w:r>
        <w:r w:rsidR="00723D92">
          <w:rPr>
            <w:webHidden/>
          </w:rPr>
          <w:fldChar w:fldCharType="separate"/>
        </w:r>
        <w:r w:rsidR="00723D92">
          <w:rPr>
            <w:webHidden/>
          </w:rPr>
          <w:t>5</w:t>
        </w:r>
        <w:r w:rsidR="00723D92">
          <w:rPr>
            <w:webHidden/>
          </w:rPr>
          <w:fldChar w:fldCharType="end"/>
        </w:r>
      </w:hyperlink>
    </w:p>
    <w:p w:rsidR="00723D92" w:rsidRDefault="003F5FA0">
      <w:pPr>
        <w:pStyle w:val="Verzeichnis1"/>
        <w:rPr>
          <w:rFonts w:asciiTheme="minorHAnsi" w:eastAsiaTheme="minorEastAsia" w:hAnsiTheme="minorHAnsi" w:cstheme="minorBidi"/>
          <w:b w:val="0"/>
          <w:szCs w:val="22"/>
        </w:rPr>
      </w:pPr>
      <w:hyperlink w:anchor="_Toc53733116" w:history="1">
        <w:r w:rsidR="00723D92" w:rsidRPr="00307531">
          <w:rPr>
            <w:rStyle w:val="Hyperlink"/>
            <w:rFonts w:cstheme="minorHAnsi"/>
          </w:rPr>
          <w:t>5</w:t>
        </w:r>
        <w:r w:rsidR="00723D92">
          <w:rPr>
            <w:rFonts w:asciiTheme="minorHAnsi" w:eastAsiaTheme="minorEastAsia" w:hAnsiTheme="minorHAnsi" w:cstheme="minorBidi"/>
            <w:b w:val="0"/>
            <w:szCs w:val="22"/>
          </w:rPr>
          <w:tab/>
        </w:r>
        <w:r w:rsidR="00723D92" w:rsidRPr="00307531">
          <w:rPr>
            <w:rStyle w:val="Hyperlink"/>
            <w:rFonts w:cstheme="minorHAnsi"/>
          </w:rPr>
          <w:t>Laufzeit</w:t>
        </w:r>
        <w:r w:rsidR="00723D92">
          <w:rPr>
            <w:webHidden/>
          </w:rPr>
          <w:tab/>
        </w:r>
        <w:r w:rsidR="00723D92">
          <w:rPr>
            <w:webHidden/>
          </w:rPr>
          <w:fldChar w:fldCharType="begin"/>
        </w:r>
        <w:r w:rsidR="00723D92">
          <w:rPr>
            <w:webHidden/>
          </w:rPr>
          <w:instrText xml:space="preserve"> PAGEREF _Toc53733116 \h </w:instrText>
        </w:r>
        <w:r w:rsidR="00723D92">
          <w:rPr>
            <w:webHidden/>
          </w:rPr>
        </w:r>
        <w:r w:rsidR="00723D92">
          <w:rPr>
            <w:webHidden/>
          </w:rPr>
          <w:fldChar w:fldCharType="separate"/>
        </w:r>
        <w:r w:rsidR="00723D92">
          <w:rPr>
            <w:webHidden/>
          </w:rPr>
          <w:t>5</w:t>
        </w:r>
        <w:r w:rsidR="00723D92">
          <w:rPr>
            <w:webHidden/>
          </w:rPr>
          <w:fldChar w:fldCharType="end"/>
        </w:r>
      </w:hyperlink>
    </w:p>
    <w:p w:rsidR="00723D92" w:rsidRDefault="003F5FA0">
      <w:pPr>
        <w:pStyle w:val="Verzeichnis1"/>
        <w:rPr>
          <w:rFonts w:asciiTheme="minorHAnsi" w:eastAsiaTheme="minorEastAsia" w:hAnsiTheme="minorHAnsi" w:cstheme="minorBidi"/>
          <w:b w:val="0"/>
          <w:szCs w:val="22"/>
        </w:rPr>
      </w:pPr>
      <w:hyperlink w:anchor="_Toc53733117" w:history="1">
        <w:r w:rsidR="00723D92" w:rsidRPr="00307531">
          <w:rPr>
            <w:rStyle w:val="Hyperlink"/>
            <w:rFonts w:cstheme="minorHAnsi"/>
          </w:rPr>
          <w:t>6</w:t>
        </w:r>
        <w:r w:rsidR="00723D92">
          <w:rPr>
            <w:rFonts w:asciiTheme="minorHAnsi" w:eastAsiaTheme="minorEastAsia" w:hAnsiTheme="minorHAnsi" w:cstheme="minorBidi"/>
            <w:b w:val="0"/>
            <w:szCs w:val="22"/>
          </w:rPr>
          <w:tab/>
        </w:r>
        <w:r w:rsidR="00723D92" w:rsidRPr="00307531">
          <w:rPr>
            <w:rStyle w:val="Hyperlink"/>
            <w:rFonts w:cstheme="minorHAnsi"/>
          </w:rPr>
          <w:t>Kündigung</w:t>
        </w:r>
        <w:r w:rsidR="00723D92">
          <w:rPr>
            <w:webHidden/>
          </w:rPr>
          <w:tab/>
        </w:r>
        <w:r w:rsidR="00723D92">
          <w:rPr>
            <w:webHidden/>
          </w:rPr>
          <w:fldChar w:fldCharType="begin"/>
        </w:r>
        <w:r w:rsidR="00723D92">
          <w:rPr>
            <w:webHidden/>
          </w:rPr>
          <w:instrText xml:space="preserve"> PAGEREF _Toc53733117 \h </w:instrText>
        </w:r>
        <w:r w:rsidR="00723D92">
          <w:rPr>
            <w:webHidden/>
          </w:rPr>
        </w:r>
        <w:r w:rsidR="00723D92">
          <w:rPr>
            <w:webHidden/>
          </w:rPr>
          <w:fldChar w:fldCharType="separate"/>
        </w:r>
        <w:r w:rsidR="00723D92">
          <w:rPr>
            <w:webHidden/>
          </w:rPr>
          <w:t>5</w:t>
        </w:r>
        <w:r w:rsidR="00723D92">
          <w:rPr>
            <w:webHidden/>
          </w:rPr>
          <w:fldChar w:fldCharType="end"/>
        </w:r>
      </w:hyperlink>
    </w:p>
    <w:p w:rsidR="00723D92" w:rsidRDefault="003F5FA0">
      <w:pPr>
        <w:pStyle w:val="Verzeichnis1"/>
        <w:rPr>
          <w:rFonts w:asciiTheme="minorHAnsi" w:eastAsiaTheme="minorEastAsia" w:hAnsiTheme="minorHAnsi" w:cstheme="minorBidi"/>
          <w:b w:val="0"/>
          <w:szCs w:val="22"/>
        </w:rPr>
      </w:pPr>
      <w:hyperlink w:anchor="_Toc53733118" w:history="1">
        <w:r w:rsidR="00723D92" w:rsidRPr="00307531">
          <w:rPr>
            <w:rStyle w:val="Hyperlink"/>
            <w:rFonts w:cstheme="minorHAnsi"/>
          </w:rPr>
          <w:t>7</w:t>
        </w:r>
        <w:r w:rsidR="00723D92">
          <w:rPr>
            <w:rFonts w:asciiTheme="minorHAnsi" w:eastAsiaTheme="minorEastAsia" w:hAnsiTheme="minorHAnsi" w:cstheme="minorBidi"/>
            <w:b w:val="0"/>
            <w:szCs w:val="22"/>
          </w:rPr>
          <w:tab/>
        </w:r>
        <w:r w:rsidR="00723D92" w:rsidRPr="00307531">
          <w:rPr>
            <w:rStyle w:val="Hyperlink"/>
            <w:rFonts w:cstheme="minorHAnsi"/>
          </w:rPr>
          <w:t>Allgemeines</w:t>
        </w:r>
        <w:r w:rsidR="00723D92">
          <w:rPr>
            <w:webHidden/>
          </w:rPr>
          <w:tab/>
        </w:r>
        <w:r w:rsidR="00723D92">
          <w:rPr>
            <w:webHidden/>
          </w:rPr>
          <w:fldChar w:fldCharType="begin"/>
        </w:r>
        <w:r w:rsidR="00723D92">
          <w:rPr>
            <w:webHidden/>
          </w:rPr>
          <w:instrText xml:space="preserve"> PAGEREF _Toc53733118 \h </w:instrText>
        </w:r>
        <w:r w:rsidR="00723D92">
          <w:rPr>
            <w:webHidden/>
          </w:rPr>
        </w:r>
        <w:r w:rsidR="00723D92">
          <w:rPr>
            <w:webHidden/>
          </w:rPr>
          <w:fldChar w:fldCharType="separate"/>
        </w:r>
        <w:r w:rsidR="00723D92">
          <w:rPr>
            <w:webHidden/>
          </w:rPr>
          <w:t>5</w:t>
        </w:r>
        <w:r w:rsidR="00723D92">
          <w:rPr>
            <w:webHidden/>
          </w:rPr>
          <w:fldChar w:fldCharType="end"/>
        </w:r>
      </w:hyperlink>
    </w:p>
    <w:p w:rsidR="00877019" w:rsidRDefault="00877019" w:rsidP="00877019">
      <w:pPr>
        <w:rPr>
          <w:sz w:val="24"/>
          <w:szCs w:val="24"/>
        </w:rPr>
      </w:pPr>
      <w:r w:rsidRPr="00877019">
        <w:rPr>
          <w:rFonts w:cstheme="minorHAnsi"/>
          <w:sz w:val="24"/>
          <w:szCs w:val="24"/>
        </w:rPr>
        <w:fldChar w:fldCharType="end"/>
      </w:r>
      <w:r>
        <w:rPr>
          <w:sz w:val="24"/>
          <w:szCs w:val="24"/>
        </w:rPr>
        <w:br w:type="page"/>
      </w:r>
    </w:p>
    <w:p w:rsidR="00877019" w:rsidRPr="00877019" w:rsidRDefault="00877019" w:rsidP="00877019">
      <w:pPr>
        <w:pStyle w:val="berschrift1"/>
        <w:keepNext/>
        <w:tabs>
          <w:tab w:val="left" w:pos="540"/>
        </w:tabs>
        <w:spacing w:after="240"/>
        <w:ind w:left="0" w:firstLine="0"/>
        <w:rPr>
          <w:rFonts w:cstheme="minorHAnsi"/>
          <w:sz w:val="24"/>
          <w:lang w:val="de-DE"/>
        </w:rPr>
      </w:pPr>
      <w:bookmarkStart w:id="3" w:name="_Toc53733110"/>
      <w:r w:rsidRPr="00877019">
        <w:rPr>
          <w:rFonts w:cstheme="minorHAnsi"/>
          <w:sz w:val="24"/>
          <w:lang w:val="de-DE"/>
        </w:rPr>
        <w:lastRenderedPageBreak/>
        <w:t>Verantwortung des Lieferanten für die Qualität seiner Produkte und Leistungen</w:t>
      </w:r>
      <w:bookmarkEnd w:id="3"/>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Der Lieferant ist entsprechend den schriftlich vereinbarten technischen Unterlagen verantwortlich für die fehlerfreie Funktionalität und Zuverlässigkeit der von ihm gelieferten Software. Er muss die Anforderungen an die Software und deren Anwendungsfälle bei Schaeffler kennen. Er hat die Vollständigkeit und Korrektheit der Unterlagen zu überprüfen und, soweit erforderlich, weitere Informationen von Schaeffler anzufordern.</w:t>
      </w:r>
    </w:p>
    <w:p w:rsidR="00877019" w:rsidRPr="00877019" w:rsidRDefault="00877019" w:rsidP="00877019">
      <w:pPr>
        <w:pStyle w:val="StandardBlock"/>
        <w:rPr>
          <w:rFonts w:asciiTheme="minorHAnsi" w:hAnsiTheme="minorHAnsi" w:cstheme="minorHAnsi"/>
          <w:color w:val="000000"/>
        </w:rPr>
      </w:pPr>
      <w:r w:rsidRPr="00877019">
        <w:rPr>
          <w:rFonts w:asciiTheme="minorHAnsi" w:hAnsiTheme="minorHAnsi" w:cstheme="minorHAnsi"/>
        </w:rPr>
        <w:t>Die Qualitätsstrategie des Lieferanten ist auf ständige Verbesserung seiner Prozesse und Leistungen auszurichten, um das Ziel "Null Fehler" anzustreben.</w:t>
      </w:r>
    </w:p>
    <w:p w:rsidR="00877019" w:rsidRPr="00877019" w:rsidRDefault="00877019" w:rsidP="00877019">
      <w:pPr>
        <w:pStyle w:val="StandardBlock"/>
        <w:rPr>
          <w:rFonts w:asciiTheme="minorHAnsi" w:hAnsiTheme="minorHAnsi" w:cstheme="minorHAnsi"/>
          <w:color w:val="000000"/>
        </w:rPr>
      </w:pPr>
      <w:r w:rsidRPr="00877019">
        <w:rPr>
          <w:rFonts w:asciiTheme="minorHAnsi" w:hAnsiTheme="minorHAnsi" w:cstheme="minorHAnsi"/>
        </w:rPr>
        <w:t xml:space="preserve">Vergibt der Lieferant Aufträge an Unterlieferanten, so ist er verpflichtet, die Anforderungen dieser </w:t>
      </w:r>
      <w:r w:rsidRPr="00877019">
        <w:rPr>
          <w:rFonts w:asciiTheme="minorHAnsi" w:hAnsiTheme="minorHAnsi" w:cstheme="minorHAnsi"/>
          <w:i/>
          <w:iCs/>
          <w:color w:val="000000"/>
        </w:rPr>
        <w:t>Qualitätssicherungsvereinbarung mit Softwarelieferanten (QSV)</w:t>
      </w:r>
      <w:r w:rsidRPr="00877019">
        <w:rPr>
          <w:rFonts w:asciiTheme="minorHAnsi" w:hAnsiTheme="minorHAnsi" w:cstheme="minorHAnsi"/>
          <w:color w:val="000000"/>
        </w:rPr>
        <w:t xml:space="preserve"> auch in Richtung seiner Unterlieferanten umzusetzen.</w:t>
      </w:r>
    </w:p>
    <w:p w:rsidR="00877019" w:rsidRPr="00877019" w:rsidRDefault="00877019" w:rsidP="00877019">
      <w:pPr>
        <w:pStyle w:val="StandardBlock"/>
        <w:rPr>
          <w:rFonts w:asciiTheme="minorHAnsi" w:hAnsiTheme="minorHAnsi" w:cstheme="minorHAnsi"/>
          <w:color w:val="000000"/>
        </w:rPr>
      </w:pPr>
      <w:r w:rsidRPr="00877019">
        <w:rPr>
          <w:rFonts w:asciiTheme="minorHAnsi" w:hAnsiTheme="minorHAnsi" w:cstheme="minorHAnsi"/>
          <w:color w:val="000000"/>
        </w:rPr>
        <w:t xml:space="preserve">Weiterhin verpflichtet sich der Lieferant zur Einhaltung zugesagter Termine, z. B. für die Lieferung von Zwischenständen, Testnachweisen, Statusberichten, Patches. </w:t>
      </w:r>
    </w:p>
    <w:p w:rsidR="00877019" w:rsidRPr="00877019" w:rsidRDefault="00877019" w:rsidP="00877019">
      <w:pPr>
        <w:pStyle w:val="berschrift1"/>
        <w:keepNext/>
        <w:tabs>
          <w:tab w:val="left" w:pos="540"/>
          <w:tab w:val="left" w:pos="567"/>
        </w:tabs>
        <w:spacing w:before="360" w:after="0"/>
        <w:ind w:left="0" w:firstLine="0"/>
        <w:rPr>
          <w:rFonts w:cstheme="minorHAnsi"/>
          <w:sz w:val="24"/>
        </w:rPr>
      </w:pPr>
      <w:bookmarkStart w:id="4" w:name="_Toc213213481"/>
      <w:bookmarkStart w:id="5" w:name="_Toc53733111"/>
      <w:bookmarkEnd w:id="4"/>
      <w:r w:rsidRPr="00877019">
        <w:rPr>
          <w:rFonts w:cstheme="minorHAnsi"/>
          <w:sz w:val="24"/>
        </w:rPr>
        <w:t>Qualitätsmanagementsystem</w:t>
      </w:r>
      <w:bookmarkEnd w:id="5"/>
    </w:p>
    <w:p w:rsidR="00877019" w:rsidRPr="00877019" w:rsidRDefault="00877019" w:rsidP="00877019">
      <w:pPr>
        <w:pStyle w:val="berschrift2"/>
        <w:keepNext/>
        <w:tabs>
          <w:tab w:val="clear" w:pos="1072"/>
          <w:tab w:val="left" w:pos="630"/>
        </w:tabs>
        <w:spacing w:before="320" w:after="40" w:line="240" w:lineRule="auto"/>
        <w:ind w:left="0" w:firstLine="0"/>
        <w:rPr>
          <w:rFonts w:cstheme="minorHAnsi"/>
          <w:sz w:val="24"/>
        </w:rPr>
      </w:pPr>
      <w:bookmarkStart w:id="6" w:name="_Toc53733112"/>
      <w:r w:rsidRPr="00877019">
        <w:rPr>
          <w:rFonts w:cstheme="minorHAnsi"/>
          <w:sz w:val="24"/>
        </w:rPr>
        <w:t>Allgemeines</w:t>
      </w:r>
      <w:bookmarkEnd w:id="6"/>
    </w:p>
    <w:p w:rsidR="00877019" w:rsidRPr="00877019" w:rsidRDefault="00877019" w:rsidP="00877019">
      <w:pPr>
        <w:pStyle w:val="StandardBlock"/>
        <w:rPr>
          <w:rFonts w:asciiTheme="minorHAnsi" w:hAnsiTheme="minorHAnsi" w:cstheme="minorHAnsi"/>
          <w:color w:val="000000"/>
        </w:rPr>
      </w:pPr>
      <w:r w:rsidRPr="00877019">
        <w:rPr>
          <w:rFonts w:asciiTheme="minorHAnsi" w:hAnsiTheme="minorHAnsi" w:cstheme="minorHAnsi"/>
          <w:color w:val="000000"/>
        </w:rPr>
        <w:t>Der Lieferant hat durch ein geeignetes Qualitätsmanagementsystem unter Berücksichtigung der Anforderungen von Automotive SPICE bzw. der ISO/IEC 15504 – Teil 5 die fehler</w:t>
      </w:r>
      <w:r w:rsidRPr="00877019">
        <w:rPr>
          <w:rFonts w:asciiTheme="minorHAnsi" w:hAnsiTheme="minorHAnsi" w:cstheme="minorHAnsi"/>
        </w:rPr>
        <w:t xml:space="preserve">freie Funktionalität und Zuverlässigkeit seiner Software gegenüber Schaeffler sicherzustellen. Die Wirksamkeit seines </w:t>
      </w:r>
      <w:r w:rsidRPr="00877019">
        <w:rPr>
          <w:rFonts w:asciiTheme="minorHAnsi" w:hAnsiTheme="minorHAnsi" w:cstheme="minorHAnsi"/>
          <w:color w:val="000000"/>
        </w:rPr>
        <w:t>Qualitätsmanagementsystems ist durch regelmäßige Überprüfungen nachzuweisen.</w:t>
      </w:r>
    </w:p>
    <w:p w:rsidR="00877019" w:rsidRPr="00877019" w:rsidRDefault="00877019" w:rsidP="00877019">
      <w:pPr>
        <w:ind w:left="142"/>
        <w:rPr>
          <w:rFonts w:cstheme="minorHAnsi"/>
          <w:sz w:val="2"/>
        </w:rPr>
      </w:pPr>
    </w:p>
    <w:p w:rsidR="00877019" w:rsidRPr="00877019" w:rsidRDefault="00877019" w:rsidP="00877019">
      <w:pPr>
        <w:pStyle w:val="berschrift2"/>
        <w:keepNext/>
        <w:tabs>
          <w:tab w:val="clear" w:pos="1072"/>
          <w:tab w:val="left" w:pos="630"/>
        </w:tabs>
        <w:spacing w:before="320" w:after="40" w:line="240" w:lineRule="auto"/>
        <w:ind w:left="0" w:firstLine="0"/>
        <w:rPr>
          <w:rFonts w:cstheme="minorHAnsi"/>
          <w:sz w:val="24"/>
          <w:lang w:val="de-DE"/>
        </w:rPr>
      </w:pPr>
      <w:bookmarkStart w:id="7" w:name="_Toc53733113"/>
      <w:r w:rsidRPr="00877019">
        <w:rPr>
          <w:rFonts w:cstheme="minorHAnsi"/>
          <w:sz w:val="24"/>
          <w:lang w:val="de-DE"/>
        </w:rPr>
        <w:t>Überprüfung des Qualitätsmanagementsystems und der Einhaltung der</w:t>
      </w:r>
      <w:r>
        <w:rPr>
          <w:rFonts w:cstheme="minorHAnsi"/>
          <w:sz w:val="24"/>
          <w:lang w:val="de-DE"/>
        </w:rPr>
        <w:br/>
      </w:r>
      <w:r w:rsidRPr="00877019">
        <w:rPr>
          <w:rFonts w:cstheme="minorHAnsi"/>
          <w:sz w:val="24"/>
          <w:lang w:val="de-DE"/>
        </w:rPr>
        <w:t>Entwicklungsprozesse</w:t>
      </w:r>
      <w:bookmarkEnd w:id="7"/>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Schaeffler hat im Rahmen der Projektabwicklung bzw. im Fall von Qualitätsmängeln oder Systemschwächen das Recht, beim Lieferanten die Einhaltung der Schaeffler-Anforderungen vor Ort zu überprüfen, ggfs. auch mit einem Beauftragten des Endkunden. Diese Überprüfung kann je nach Sachlage als technisches Gespräch oder als Prozessassessment (z. B. nach Automotive SPICE oder CMMI) durchgeführt werden und wird mit dem Lieferanten rechtzeitig vor geplanter Durchführung vereinbart.</w:t>
      </w:r>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Der Lieferant wird Schaeffler Zugang zu den betroffenen Bereichen sowie Einblick in die entsprechenden Unterlagen unter Berücksichtigung notwendiger Geheimhaltungsvereinbarungen gestatten.</w:t>
      </w:r>
    </w:p>
    <w:p w:rsidR="00877019" w:rsidRDefault="00877019" w:rsidP="00877019">
      <w:pPr>
        <w:rPr>
          <w:rFonts w:cstheme="minorHAnsi"/>
          <w:sz w:val="22"/>
          <w:lang w:val="de-DE"/>
        </w:rPr>
      </w:pPr>
      <w:r>
        <w:rPr>
          <w:rFonts w:cstheme="minorHAnsi"/>
          <w:sz w:val="22"/>
          <w:lang w:val="de-DE"/>
        </w:rPr>
        <w:br w:type="page"/>
      </w:r>
    </w:p>
    <w:p w:rsidR="00877019" w:rsidRPr="00877019" w:rsidRDefault="00877019" w:rsidP="00877019">
      <w:pPr>
        <w:pStyle w:val="berschrift1"/>
        <w:keepNext/>
        <w:pageBreakBefore/>
        <w:tabs>
          <w:tab w:val="left" w:pos="540"/>
          <w:tab w:val="left" w:pos="720"/>
        </w:tabs>
        <w:spacing w:before="360" w:after="240"/>
        <w:ind w:left="0" w:firstLine="0"/>
        <w:rPr>
          <w:rFonts w:cstheme="minorHAnsi"/>
          <w:sz w:val="24"/>
        </w:rPr>
      </w:pPr>
      <w:bookmarkStart w:id="8" w:name="_Toc53733114"/>
      <w:r w:rsidRPr="00877019">
        <w:rPr>
          <w:rFonts w:cstheme="minorHAnsi"/>
          <w:sz w:val="24"/>
        </w:rPr>
        <w:lastRenderedPageBreak/>
        <w:t>Nachweis der Prozessqualität</w:t>
      </w:r>
      <w:bookmarkEnd w:id="8"/>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Zur kontinuierlichen Prozessverbesserung sind vom Lieferanten Prozessassessments als zentrales Instrument einzusetzen. Die regelmäßige Durchführung von Prozessassessments dient zum Nachweis der Qualitätsfähigkeit der Softwareentwicklung. Dabei sind auch die Unterlieferanten in die gesamte Prozesskettenbetrachtung einzuschließen.</w:t>
      </w:r>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 xml:space="preserve">Um Risikopotenziale frühzeitig zu erkennen und mit geeigneten Korrekturmaßnahmen gegenzusteuern, bewertet Schaeffler die Lieferanten ebenfalls mittels eines Prozessassessments, das vom Lieferanten bei der Planung des Projektes vorzusehen ist. Das Assessment setzt einen abgeschlossenen Entwicklungszyklus (Release) voraus. </w:t>
      </w:r>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Zur systematischen und reproduzierbaren Analyse wird für Automotive-Lieferanten das Prozessreferenzmodell aus Automotive SPICE</w:t>
      </w:r>
      <w:r w:rsidRPr="00877019">
        <w:rPr>
          <w:rFonts w:asciiTheme="minorHAnsi" w:hAnsiTheme="minorHAnsi" w:cstheme="minorHAnsi"/>
          <w:vertAlign w:val="superscript"/>
        </w:rPr>
        <w:t>TM</w:t>
      </w:r>
      <w:r w:rsidRPr="00877019">
        <w:rPr>
          <w:rFonts w:asciiTheme="minorHAnsi" w:hAnsiTheme="minorHAnsi" w:cstheme="minorHAnsi"/>
        </w:rPr>
        <w:t xml:space="preserve"> verwendet, für Lieferanten aller anderen Branchen das Prozessreferenzmodell der ISO/IEC 15504 – Teil 5. Bei der Durchführung eines Prozessassessments durch Schaeffler beim Lieferanten bzw. eines Selbstassessments des Lieferanten sind die in der folgenden Tabelle aufgelisteten Prozesse zu bewerten: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9"/>
      </w:tblGrid>
      <w:tr w:rsidR="00877019" w:rsidRPr="003F5FA0" w:rsidTr="00B04463">
        <w:tc>
          <w:tcPr>
            <w:tcW w:w="4820" w:type="dxa"/>
            <w:shd w:val="clear" w:color="auto" w:fill="BFBFBF"/>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rPr>
              <w:t>Automotive (gemäß Automotive SPICE PAM</w:t>
            </w:r>
            <w:r w:rsidRPr="00877019">
              <w:rPr>
                <w:rStyle w:val="Funotenzeichen"/>
                <w:rFonts w:asciiTheme="minorHAnsi" w:hAnsiTheme="minorHAnsi" w:cstheme="minorHAnsi"/>
              </w:rPr>
              <w:footnoteReference w:id="1"/>
            </w:r>
            <w:r w:rsidRPr="00877019">
              <w:rPr>
                <w:rFonts w:asciiTheme="minorHAnsi" w:hAnsiTheme="minorHAnsi" w:cstheme="minorHAnsi"/>
              </w:rPr>
              <w:t>)</w:t>
            </w:r>
          </w:p>
        </w:tc>
        <w:tc>
          <w:tcPr>
            <w:tcW w:w="4819" w:type="dxa"/>
            <w:shd w:val="clear" w:color="auto" w:fill="BFBFBF"/>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rPr>
              <w:t>Andere Branchen (gemäß ISO/IEC 15504-5</w:t>
            </w:r>
            <w:r w:rsidRPr="00877019">
              <w:rPr>
                <w:rStyle w:val="Funotenzeichen"/>
                <w:rFonts w:asciiTheme="minorHAnsi" w:hAnsiTheme="minorHAnsi" w:cstheme="minorHAnsi"/>
              </w:rPr>
              <w:footnoteReference w:id="2"/>
            </w:r>
            <w:r w:rsidRPr="00877019">
              <w:rPr>
                <w:rFonts w:asciiTheme="minorHAnsi" w:hAnsiTheme="minorHAnsi" w:cstheme="minorHAnsi"/>
              </w:rPr>
              <w:t>)</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MAN.3 Projektmanagement</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MAN.3 Project Management</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ACQ.4 Lieferanten-Monitoring</w:t>
            </w:r>
            <w:bookmarkStart w:id="9" w:name="_Ref346285962"/>
            <w:r w:rsidRPr="00877019">
              <w:rPr>
                <w:rStyle w:val="Funotenzeichen"/>
                <w:rFonts w:asciiTheme="minorHAnsi" w:hAnsiTheme="minorHAnsi" w:cstheme="minorHAnsi"/>
                <w:color w:val="000000"/>
                <w:sz w:val="20"/>
              </w:rPr>
              <w:footnoteReference w:id="3"/>
            </w:r>
            <w:bookmarkEnd w:id="9"/>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ACQ.4</w:t>
            </w:r>
            <w:r w:rsidRPr="00877019">
              <w:rPr>
                <w:rFonts w:asciiTheme="minorHAnsi" w:hAnsiTheme="minorHAnsi" w:cstheme="minorHAnsi"/>
                <w:sz w:val="20"/>
                <w:lang w:val="en-US"/>
              </w:rPr>
              <w:t xml:space="preserve"> </w:t>
            </w:r>
            <w:proofErr w:type="gramStart"/>
            <w:r w:rsidRPr="00877019">
              <w:rPr>
                <w:rFonts w:asciiTheme="minorHAnsi" w:hAnsiTheme="minorHAnsi" w:cstheme="minorHAnsi"/>
                <w:sz w:val="20"/>
                <w:lang w:val="en-US"/>
              </w:rPr>
              <w:t>Supplier</w:t>
            </w:r>
            <w:proofErr w:type="gramEnd"/>
            <w:r w:rsidRPr="00877019">
              <w:rPr>
                <w:rFonts w:asciiTheme="minorHAnsi" w:hAnsiTheme="minorHAnsi" w:cstheme="minorHAnsi"/>
                <w:sz w:val="20"/>
                <w:lang w:val="en-US"/>
              </w:rPr>
              <w:t xml:space="preserve"> Monitoring</w:t>
            </w:r>
            <w:r w:rsidRPr="00877019">
              <w:rPr>
                <w:rFonts w:asciiTheme="minorHAnsi" w:hAnsiTheme="minorHAnsi" w:cstheme="minorHAnsi"/>
              </w:rPr>
              <w:fldChar w:fldCharType="begin"/>
            </w:r>
            <w:r w:rsidRPr="00877019">
              <w:rPr>
                <w:rFonts w:asciiTheme="minorHAnsi" w:hAnsiTheme="minorHAnsi" w:cstheme="minorHAnsi"/>
              </w:rPr>
              <w:instrText xml:space="preserve"> NOTEREF _Ref346285962 \h  \* MERGEFORMAT </w:instrText>
            </w:r>
            <w:r w:rsidRPr="00877019">
              <w:rPr>
                <w:rFonts w:asciiTheme="minorHAnsi" w:hAnsiTheme="minorHAnsi" w:cstheme="minorHAnsi"/>
              </w:rPr>
            </w:r>
            <w:r w:rsidRPr="00877019">
              <w:rPr>
                <w:rFonts w:asciiTheme="minorHAnsi" w:hAnsiTheme="minorHAnsi" w:cstheme="minorHAnsi"/>
              </w:rPr>
              <w:fldChar w:fldCharType="separate"/>
            </w:r>
            <w:r w:rsidRPr="00877019">
              <w:rPr>
                <w:rFonts w:asciiTheme="minorHAnsi" w:hAnsiTheme="minorHAnsi" w:cstheme="minorHAnsi"/>
                <w:sz w:val="20"/>
                <w:vertAlign w:val="superscript"/>
                <w:lang w:val="en-US"/>
              </w:rPr>
              <w:t>3</w:t>
            </w:r>
            <w:r w:rsidRPr="00877019">
              <w:rPr>
                <w:rFonts w:asciiTheme="minorHAnsi" w:hAnsiTheme="minorHAnsi" w:cstheme="minorHAnsi"/>
              </w:rPr>
              <w:fldChar w:fldCharType="end"/>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ENG.2 Systemanforderungsanalyse*</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ENG.2 System Requirements Analysis*</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ENG.3 Entwurf der Systemarchitektur*</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ENG.3 System</w:t>
            </w:r>
            <w:r w:rsidRPr="00877019">
              <w:rPr>
                <w:rFonts w:asciiTheme="minorHAnsi" w:hAnsiTheme="minorHAnsi" w:cstheme="minorHAnsi"/>
                <w:sz w:val="20"/>
                <w:lang w:val="en-US"/>
              </w:rPr>
              <w:t xml:space="preserve"> Architectural</w:t>
            </w:r>
            <w:r w:rsidRPr="00877019">
              <w:rPr>
                <w:rFonts w:asciiTheme="minorHAnsi" w:hAnsiTheme="minorHAnsi" w:cstheme="minorHAnsi"/>
                <w:sz w:val="20"/>
              </w:rPr>
              <w:t xml:space="preserve"> Design*</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ENG.4 Softwareanforderungsanalyse</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ENG.4 Software Requirements Analysis</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ENG.5 Entwurf des Softwaredesigns</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ENG.5 Software Design</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ENG.6 Softwareerstellung</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ENG.6 Software</w:t>
            </w:r>
            <w:r w:rsidRPr="00877019">
              <w:rPr>
                <w:rFonts w:asciiTheme="minorHAnsi" w:hAnsiTheme="minorHAnsi" w:cstheme="minorHAnsi"/>
                <w:sz w:val="20"/>
                <w:lang w:val="en-US"/>
              </w:rPr>
              <w:t xml:space="preserve"> Construction</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ENG.7 Softwareintegrationstest</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ENG.7 Software Integration</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ENG.8 Softwaretest</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ENG.8 Software</w:t>
            </w:r>
            <w:r w:rsidRPr="00877019">
              <w:rPr>
                <w:rFonts w:asciiTheme="minorHAnsi" w:hAnsiTheme="minorHAnsi" w:cstheme="minorHAnsi"/>
                <w:sz w:val="20"/>
                <w:lang w:val="en-US"/>
              </w:rPr>
              <w:t xml:space="preserve"> Testing</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ENG.9 Systemintegrationstest*</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ENG.9 System Integration*</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ENG.10 Systemtest*</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ENG.10 System</w:t>
            </w:r>
            <w:r w:rsidRPr="00877019">
              <w:rPr>
                <w:rFonts w:asciiTheme="minorHAnsi" w:hAnsiTheme="minorHAnsi" w:cstheme="minorHAnsi"/>
                <w:sz w:val="20"/>
                <w:lang w:val="en-US"/>
              </w:rPr>
              <w:t xml:space="preserve"> Testing*</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SUP.1 Qualitätssicherung</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SUP.1 Quality Assurance</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SUP.8 Konfigurationsmanagement</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SUP.2</w:t>
            </w:r>
            <w:r w:rsidRPr="00877019">
              <w:rPr>
                <w:rFonts w:asciiTheme="minorHAnsi" w:hAnsiTheme="minorHAnsi" w:cstheme="minorHAnsi"/>
                <w:sz w:val="20"/>
                <w:lang w:val="en-US"/>
              </w:rPr>
              <w:t xml:space="preserve"> Configuration</w:t>
            </w:r>
            <w:r w:rsidRPr="00877019">
              <w:rPr>
                <w:rFonts w:asciiTheme="minorHAnsi" w:hAnsiTheme="minorHAnsi" w:cstheme="minorHAnsi"/>
                <w:sz w:val="20"/>
              </w:rPr>
              <w:t xml:space="preserve"> Management</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SUP.9 Problemlösungsmanagement</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SUP.9 Problem Resolution Management</w:t>
            </w:r>
          </w:p>
        </w:tc>
      </w:tr>
      <w:tr w:rsidR="00877019" w:rsidRPr="00877019" w:rsidTr="00B04463">
        <w:tc>
          <w:tcPr>
            <w:tcW w:w="4820" w:type="dxa"/>
            <w:vAlign w:val="bottom"/>
          </w:tcPr>
          <w:p w:rsidR="00877019" w:rsidRPr="00877019" w:rsidRDefault="00877019" w:rsidP="00B04463">
            <w:pPr>
              <w:pStyle w:val="StandardBlock"/>
              <w:rPr>
                <w:rFonts w:asciiTheme="minorHAnsi" w:hAnsiTheme="minorHAnsi" w:cstheme="minorHAnsi"/>
              </w:rPr>
            </w:pPr>
            <w:r w:rsidRPr="00877019">
              <w:rPr>
                <w:rFonts w:asciiTheme="minorHAnsi" w:hAnsiTheme="minorHAnsi" w:cstheme="minorHAnsi"/>
                <w:color w:val="000000"/>
                <w:sz w:val="20"/>
              </w:rPr>
              <w:t>SUP.10 Änderungsmanagement</w:t>
            </w:r>
          </w:p>
        </w:tc>
        <w:tc>
          <w:tcPr>
            <w:tcW w:w="4819" w:type="dxa"/>
          </w:tcPr>
          <w:p w:rsidR="00877019" w:rsidRPr="00877019" w:rsidRDefault="00877019" w:rsidP="00B04463">
            <w:pPr>
              <w:pStyle w:val="StandardBlock"/>
              <w:rPr>
                <w:rFonts w:asciiTheme="minorHAnsi" w:hAnsiTheme="minorHAnsi" w:cstheme="minorHAnsi"/>
                <w:sz w:val="20"/>
              </w:rPr>
            </w:pPr>
            <w:r w:rsidRPr="00877019">
              <w:rPr>
                <w:rFonts w:asciiTheme="minorHAnsi" w:hAnsiTheme="minorHAnsi" w:cstheme="minorHAnsi"/>
                <w:sz w:val="20"/>
              </w:rPr>
              <w:t>SUP.10 Change Request Management</w:t>
            </w:r>
          </w:p>
        </w:tc>
      </w:tr>
    </w:tbl>
    <w:p w:rsidR="00877019" w:rsidRPr="00877019" w:rsidRDefault="00877019" w:rsidP="00877019">
      <w:pPr>
        <w:pStyle w:val="StandardBlock"/>
        <w:jc w:val="left"/>
        <w:rPr>
          <w:rFonts w:asciiTheme="minorHAnsi" w:hAnsiTheme="minorHAnsi" w:cstheme="minorHAnsi"/>
        </w:rPr>
      </w:pPr>
      <w:r w:rsidRPr="00877019">
        <w:rPr>
          <w:rFonts w:asciiTheme="minorHAnsi" w:hAnsiTheme="minorHAnsi" w:cstheme="minorHAnsi"/>
        </w:rPr>
        <w:lastRenderedPageBreak/>
        <w:t xml:space="preserve">Die Lieferanteneinstufung erfolgt auf Basis dieser bewertenden Prozesse nach Anlage 1. </w:t>
      </w:r>
      <w:r w:rsidRPr="00877019">
        <w:rPr>
          <w:rFonts w:asciiTheme="minorHAnsi" w:hAnsiTheme="minorHAnsi" w:cstheme="minorHAnsi"/>
        </w:rPr>
        <w:br/>
        <w:t>Die Darstellung der Ergebnisse des Prozessassessments sollte gemäß Anlage 2 erfolgen.</w:t>
      </w:r>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Im Falle einer A-Einstufung sind die festgestellten Abweichungen in eigener Verantwortung zu beheben.</w:t>
      </w:r>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Im Falle einer B- oder C-Einstufung muss der Lieferant dem Schaeffler-Projektverantwortlichen das mit Maßnahmen, Verantwortlichen und Terminen versehene Verbesserungsprogramm zur Freigabe vorlegen. Zum Nachweis der Wirksamkeit der Maßnahmen wird vom Lieferanten ein Selbstassessment durchgeführt und dessen Ergebnisse Schaeffler mitgeteilt.</w:t>
      </w:r>
    </w:p>
    <w:p w:rsidR="00877019" w:rsidRPr="00877019" w:rsidRDefault="00877019" w:rsidP="00877019">
      <w:pPr>
        <w:pStyle w:val="berschrift1"/>
        <w:keepNext/>
        <w:tabs>
          <w:tab w:val="num" w:pos="360"/>
          <w:tab w:val="left" w:pos="567"/>
        </w:tabs>
        <w:spacing w:before="360" w:after="240"/>
        <w:ind w:left="0" w:firstLine="0"/>
        <w:rPr>
          <w:rFonts w:cstheme="minorHAnsi"/>
          <w:sz w:val="24"/>
        </w:rPr>
      </w:pPr>
      <w:bookmarkStart w:id="10" w:name="_Toc346266428"/>
      <w:bookmarkStart w:id="11" w:name="_Toc346266429"/>
      <w:bookmarkStart w:id="12" w:name="_Toc346266430"/>
      <w:bookmarkStart w:id="13" w:name="_Toc346266431"/>
      <w:bookmarkStart w:id="14" w:name="_Toc346266432"/>
      <w:bookmarkStart w:id="15" w:name="_Toc346266433"/>
      <w:bookmarkStart w:id="16" w:name="_Toc346266434"/>
      <w:bookmarkStart w:id="17" w:name="_Toc346266435"/>
      <w:bookmarkStart w:id="18" w:name="_Toc346266436"/>
      <w:bookmarkStart w:id="19" w:name="_Toc345685932"/>
      <w:bookmarkStart w:id="20" w:name="_Toc346266437"/>
      <w:bookmarkStart w:id="21" w:name="_Toc345685933"/>
      <w:bookmarkStart w:id="22" w:name="_Toc346266438"/>
      <w:bookmarkStart w:id="23" w:name="_Toc345685934"/>
      <w:bookmarkStart w:id="24" w:name="_Toc346266439"/>
      <w:bookmarkStart w:id="25" w:name="_Toc345685935"/>
      <w:bookmarkStart w:id="26" w:name="_Toc346266440"/>
      <w:bookmarkStart w:id="27" w:name="_Toc219523603"/>
      <w:bookmarkStart w:id="28" w:name="_Toc345685936"/>
      <w:bookmarkStart w:id="29" w:name="_Toc346266441"/>
      <w:bookmarkStart w:id="30" w:name="_Toc345685937"/>
      <w:bookmarkStart w:id="31" w:name="_Toc346266442"/>
      <w:bookmarkStart w:id="32" w:name="_Toc345680043"/>
      <w:bookmarkStart w:id="33" w:name="_Toc345685938"/>
      <w:bookmarkStart w:id="34" w:name="_Toc346266443"/>
      <w:bookmarkStart w:id="35" w:name="_Toc345680044"/>
      <w:bookmarkStart w:id="36" w:name="_Toc345685939"/>
      <w:bookmarkStart w:id="37" w:name="_Toc346266444"/>
      <w:bookmarkStart w:id="38" w:name="_Toc345685940"/>
      <w:bookmarkStart w:id="39" w:name="_Toc346266445"/>
      <w:bookmarkStart w:id="40" w:name="_Toc345685941"/>
      <w:bookmarkStart w:id="41" w:name="_Toc346266446"/>
      <w:bookmarkStart w:id="42" w:name="_Toc345685942"/>
      <w:bookmarkStart w:id="43" w:name="_Toc346266447"/>
      <w:bookmarkStart w:id="44" w:name="_Toc345685943"/>
      <w:bookmarkStart w:id="45" w:name="_Toc346266448"/>
      <w:bookmarkStart w:id="46" w:name="_Toc213213493"/>
      <w:bookmarkStart w:id="47" w:name="_Toc345680046"/>
      <w:bookmarkStart w:id="48" w:name="_Toc345685944"/>
      <w:bookmarkStart w:id="49" w:name="_Toc346266449"/>
      <w:bookmarkStart w:id="50" w:name="_Toc345680047"/>
      <w:bookmarkStart w:id="51" w:name="_Toc345685945"/>
      <w:bookmarkStart w:id="52" w:name="_Toc346266450"/>
      <w:bookmarkStart w:id="53" w:name="_Toc345685946"/>
      <w:bookmarkStart w:id="54" w:name="_Toc346266451"/>
      <w:bookmarkStart w:id="55" w:name="_Toc345685947"/>
      <w:bookmarkStart w:id="56" w:name="_Toc346266452"/>
      <w:bookmarkStart w:id="57" w:name="_Toc345685948"/>
      <w:bookmarkStart w:id="58" w:name="_Toc346266453"/>
      <w:bookmarkStart w:id="59" w:name="_Toc345685949"/>
      <w:bookmarkStart w:id="60" w:name="_Toc346266454"/>
      <w:bookmarkStart w:id="61" w:name="_Toc345685950"/>
      <w:bookmarkStart w:id="62" w:name="_Toc346266455"/>
      <w:bookmarkStart w:id="63" w:name="_Toc213213498"/>
      <w:bookmarkStart w:id="64" w:name="_Toc345685952"/>
      <w:bookmarkStart w:id="65" w:name="_Toc346266457"/>
      <w:bookmarkStart w:id="66" w:name="_Toc345685953"/>
      <w:bookmarkStart w:id="67" w:name="_Toc346266458"/>
      <w:bookmarkStart w:id="68" w:name="_Toc345685954"/>
      <w:bookmarkStart w:id="69" w:name="_Toc346266459"/>
      <w:bookmarkStart w:id="70" w:name="_Toc345685955"/>
      <w:bookmarkStart w:id="71" w:name="_Toc346266460"/>
      <w:bookmarkStart w:id="72" w:name="_Toc345685956"/>
      <w:bookmarkStart w:id="73" w:name="_Toc346266461"/>
      <w:bookmarkStart w:id="74" w:name="_Toc345685957"/>
      <w:bookmarkStart w:id="75" w:name="_Toc346266462"/>
      <w:bookmarkStart w:id="76" w:name="_Toc345685958"/>
      <w:bookmarkStart w:id="77" w:name="_Toc346266463"/>
      <w:bookmarkStart w:id="78" w:name="_Toc345685959"/>
      <w:bookmarkStart w:id="79" w:name="_Toc346266464"/>
      <w:bookmarkStart w:id="80" w:name="_Toc345685960"/>
      <w:bookmarkStart w:id="81" w:name="_Toc346266465"/>
      <w:bookmarkStart w:id="82" w:name="_Toc345685961"/>
      <w:bookmarkStart w:id="83" w:name="_Toc346266466"/>
      <w:bookmarkStart w:id="84" w:name="_Toc345685962"/>
      <w:bookmarkStart w:id="85" w:name="_Toc346266467"/>
      <w:bookmarkStart w:id="86" w:name="_Toc213213500"/>
      <w:bookmarkStart w:id="87" w:name="_Toc213213501"/>
      <w:bookmarkStart w:id="88" w:name="_Toc345680051"/>
      <w:bookmarkStart w:id="89" w:name="_Toc345685963"/>
      <w:bookmarkStart w:id="90" w:name="_Toc346266468"/>
      <w:bookmarkStart w:id="91" w:name="_Toc345680052"/>
      <w:bookmarkStart w:id="92" w:name="_Toc345685964"/>
      <w:bookmarkStart w:id="93" w:name="_Toc346266469"/>
      <w:bookmarkStart w:id="94" w:name="_Toc345685965"/>
      <w:bookmarkStart w:id="95" w:name="_Toc346266470"/>
      <w:bookmarkStart w:id="96" w:name="_Toc345685966"/>
      <w:bookmarkStart w:id="97" w:name="_Toc346266471"/>
      <w:bookmarkStart w:id="98" w:name="_Toc345685967"/>
      <w:bookmarkStart w:id="99" w:name="_Toc346266472"/>
      <w:bookmarkStart w:id="100" w:name="_Toc345685968"/>
      <w:bookmarkStart w:id="101" w:name="_Toc346266473"/>
      <w:bookmarkStart w:id="102" w:name="_Toc213213505"/>
      <w:bookmarkStart w:id="103" w:name="_Toc213213506"/>
      <w:bookmarkStart w:id="104" w:name="_Toc345680054"/>
      <w:bookmarkStart w:id="105" w:name="_Toc345685969"/>
      <w:bookmarkStart w:id="106" w:name="_Toc346266474"/>
      <w:bookmarkStart w:id="107" w:name="_Toc345680055"/>
      <w:bookmarkStart w:id="108" w:name="_Toc345685970"/>
      <w:bookmarkStart w:id="109" w:name="_Toc346266475"/>
      <w:bookmarkStart w:id="110" w:name="_Toc345685971"/>
      <w:bookmarkStart w:id="111" w:name="_Toc346266476"/>
      <w:bookmarkStart w:id="112" w:name="_Toc345685972"/>
      <w:bookmarkStart w:id="113" w:name="_Toc346266477"/>
      <w:bookmarkStart w:id="114" w:name="_Toc345685973"/>
      <w:bookmarkStart w:id="115" w:name="_Toc346266478"/>
      <w:bookmarkStart w:id="116" w:name="_Toc345680057"/>
      <w:bookmarkStart w:id="117" w:name="_Toc345685974"/>
      <w:bookmarkStart w:id="118" w:name="_Toc346266479"/>
      <w:bookmarkStart w:id="119" w:name="_Toc213213514"/>
      <w:bookmarkStart w:id="120" w:name="_Toc213213516"/>
      <w:bookmarkStart w:id="121" w:name="_Toc213213517"/>
      <w:bookmarkStart w:id="122" w:name="_Toc213213518"/>
      <w:bookmarkStart w:id="123" w:name="_Toc148753435"/>
      <w:bookmarkStart w:id="124" w:name="_Toc345685975"/>
      <w:bookmarkStart w:id="125" w:name="_Toc346266480"/>
      <w:bookmarkStart w:id="126" w:name="_Toc345685976"/>
      <w:bookmarkStart w:id="127" w:name="_Toc346266481"/>
      <w:bookmarkStart w:id="128" w:name="_Toc53733115"/>
      <w:bookmarkStart w:id="129" w:name="OLE_LINK3"/>
      <w:bookmarkStart w:id="130" w:name="OLE_LINK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877019">
        <w:rPr>
          <w:rFonts w:cstheme="minorHAnsi"/>
          <w:sz w:val="24"/>
        </w:rPr>
        <w:t>Software im Kontext Funktionaler Sicherheit</w:t>
      </w:r>
      <w:bookmarkEnd w:id="128"/>
    </w:p>
    <w:p w:rsidR="00877019" w:rsidRPr="00877019" w:rsidRDefault="00877019" w:rsidP="00877019">
      <w:pPr>
        <w:pStyle w:val="StandardBlock"/>
        <w:rPr>
          <w:rFonts w:asciiTheme="minorHAnsi" w:hAnsiTheme="minorHAnsi" w:cstheme="minorHAnsi"/>
          <w:lang w:val="en-US"/>
        </w:rPr>
      </w:pPr>
      <w:r w:rsidRPr="00877019">
        <w:rPr>
          <w:rFonts w:asciiTheme="minorHAnsi" w:hAnsiTheme="minorHAnsi" w:cstheme="minorHAnsi"/>
        </w:rPr>
        <w:t xml:space="preserve">Für die Softwareentwicklung im Kontext Funktionaler Sicherheit sind je nach Anwendungsfall und entsprechender vertraglicher Festlegung mit Schaeffler international gültige Normen zu berücksichtigen. </w:t>
      </w:r>
      <w:r w:rsidRPr="00877019">
        <w:rPr>
          <w:rFonts w:asciiTheme="minorHAnsi" w:hAnsiTheme="minorHAnsi" w:cstheme="minorHAnsi"/>
          <w:lang w:val="en-US"/>
        </w:rPr>
        <w:t xml:space="preserve">Dies sind insbesondere die ISO 26262 „Road </w:t>
      </w:r>
      <w:proofErr w:type="gramStart"/>
      <w:r w:rsidRPr="00877019">
        <w:rPr>
          <w:rFonts w:asciiTheme="minorHAnsi" w:hAnsiTheme="minorHAnsi" w:cstheme="minorHAnsi"/>
          <w:lang w:val="en-US"/>
        </w:rPr>
        <w:t>Vehicles“ und</w:t>
      </w:r>
      <w:proofErr w:type="gramEnd"/>
      <w:r w:rsidRPr="00877019">
        <w:rPr>
          <w:rFonts w:asciiTheme="minorHAnsi" w:hAnsiTheme="minorHAnsi" w:cstheme="minorHAnsi"/>
          <w:lang w:val="en-US"/>
        </w:rPr>
        <w:t xml:space="preserve"> ISO 13849 „Safety of machinery – Safety-related parts of control systems“ sowie die branchenunabhängige Norm IEC 61508 „Functional safety of electrical/ electronic/ programmable electronic safety-related systems“. </w:t>
      </w:r>
    </w:p>
    <w:p w:rsidR="00877019" w:rsidRPr="00877019" w:rsidRDefault="00877019" w:rsidP="00877019">
      <w:pPr>
        <w:pStyle w:val="berschrift1"/>
        <w:keepNext/>
        <w:tabs>
          <w:tab w:val="left" w:pos="567"/>
        </w:tabs>
        <w:spacing w:before="360" w:after="240"/>
        <w:ind w:left="0" w:firstLine="0"/>
        <w:rPr>
          <w:rFonts w:cstheme="minorHAnsi"/>
          <w:sz w:val="24"/>
        </w:rPr>
      </w:pPr>
      <w:bookmarkStart w:id="131" w:name="_Toc345685978"/>
      <w:bookmarkStart w:id="132" w:name="_Toc346266483"/>
      <w:bookmarkStart w:id="133" w:name="_Toc345685979"/>
      <w:bookmarkStart w:id="134" w:name="_Toc346266484"/>
      <w:bookmarkStart w:id="135" w:name="_Toc53733116"/>
      <w:bookmarkEnd w:id="129"/>
      <w:bookmarkEnd w:id="130"/>
      <w:bookmarkEnd w:id="131"/>
      <w:bookmarkEnd w:id="132"/>
      <w:bookmarkEnd w:id="133"/>
      <w:bookmarkEnd w:id="134"/>
      <w:r w:rsidRPr="00877019">
        <w:rPr>
          <w:rFonts w:cstheme="minorHAnsi"/>
          <w:sz w:val="24"/>
        </w:rPr>
        <w:t>Laufzeit</w:t>
      </w:r>
      <w:bookmarkEnd w:id="135"/>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 xml:space="preserve">Diese </w:t>
      </w:r>
      <w:r w:rsidRPr="00877019">
        <w:rPr>
          <w:rFonts w:asciiTheme="minorHAnsi" w:hAnsiTheme="minorHAnsi" w:cstheme="minorHAnsi"/>
          <w:i/>
        </w:rPr>
        <w:t>Qualitätssicherungsvereinbarung</w:t>
      </w:r>
      <w:r w:rsidRPr="00877019">
        <w:rPr>
          <w:rFonts w:asciiTheme="minorHAnsi" w:hAnsiTheme="minorHAnsi" w:cstheme="minorHAnsi"/>
          <w:b/>
        </w:rPr>
        <w:t xml:space="preserve"> </w:t>
      </w:r>
      <w:r w:rsidRPr="00877019">
        <w:rPr>
          <w:rFonts w:asciiTheme="minorHAnsi" w:hAnsiTheme="minorHAnsi" w:cstheme="minorHAnsi"/>
        </w:rPr>
        <w:t>tritt mit Unterzeichnung durch beide Vertragsparteien in Kraft und ist auf unbestimmte Zeit abgeschlossen. Sie findet Anwendung auf die gesamte Geschäftsbeziehung zwischen den Vertragsparteien.</w:t>
      </w:r>
    </w:p>
    <w:p w:rsidR="00877019" w:rsidRPr="00877019" w:rsidRDefault="00877019" w:rsidP="00877019">
      <w:pPr>
        <w:pStyle w:val="berschrift1"/>
        <w:keepNext/>
        <w:tabs>
          <w:tab w:val="left" w:pos="567"/>
        </w:tabs>
        <w:spacing w:before="360" w:after="240"/>
        <w:ind w:left="0" w:firstLine="0"/>
        <w:rPr>
          <w:rFonts w:cstheme="minorHAnsi"/>
          <w:sz w:val="24"/>
        </w:rPr>
      </w:pPr>
      <w:bookmarkStart w:id="136" w:name="_Toc53733117"/>
      <w:r w:rsidRPr="00877019">
        <w:rPr>
          <w:rFonts w:cstheme="minorHAnsi"/>
          <w:sz w:val="24"/>
        </w:rPr>
        <w:t>Kündigung</w:t>
      </w:r>
      <w:bookmarkEnd w:id="136"/>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 xml:space="preserve">Die </w:t>
      </w:r>
      <w:r w:rsidRPr="00877019">
        <w:rPr>
          <w:rFonts w:asciiTheme="minorHAnsi" w:hAnsiTheme="minorHAnsi" w:cstheme="minorHAnsi"/>
          <w:i/>
        </w:rPr>
        <w:t>Qualitätssicherungsvereinbarung</w:t>
      </w:r>
      <w:r w:rsidRPr="00877019">
        <w:rPr>
          <w:rFonts w:asciiTheme="minorHAnsi" w:hAnsiTheme="minorHAnsi" w:cstheme="minorHAnsi"/>
        </w:rPr>
        <w:t xml:space="preserve"> kann von jeder Vertragspartei unter Einhaltung einer Frist von zwölf Monaten zum Monatsende schriftlich gekündigt werden.</w:t>
      </w:r>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 xml:space="preserve">Die Beendigung hat keine Auswirkung auf den Fortbestand der unter Geltung dieser </w:t>
      </w:r>
      <w:r w:rsidRPr="00877019">
        <w:rPr>
          <w:rFonts w:asciiTheme="minorHAnsi" w:hAnsiTheme="minorHAnsi" w:cstheme="minorHAnsi"/>
          <w:i/>
        </w:rPr>
        <w:t>Qualitätssicherungsvereinbarung</w:t>
      </w:r>
      <w:r w:rsidRPr="00877019">
        <w:rPr>
          <w:rFonts w:asciiTheme="minorHAnsi" w:hAnsiTheme="minorHAnsi" w:cstheme="minorHAnsi"/>
        </w:rPr>
        <w:t xml:space="preserve"> zwischen den Vertragsparteien abgeschlossenen Verträge. Für diese gelten die Bedingungen dieser Vereinbarung fort.</w:t>
      </w:r>
    </w:p>
    <w:p w:rsidR="00877019" w:rsidRPr="00877019" w:rsidRDefault="00877019" w:rsidP="00877019">
      <w:pPr>
        <w:pStyle w:val="berschrift1"/>
        <w:keepNext/>
        <w:tabs>
          <w:tab w:val="left" w:pos="567"/>
        </w:tabs>
        <w:spacing w:before="360" w:after="240"/>
        <w:ind w:left="0" w:firstLine="0"/>
        <w:rPr>
          <w:rFonts w:cstheme="minorHAnsi"/>
          <w:sz w:val="24"/>
        </w:rPr>
      </w:pPr>
      <w:bookmarkStart w:id="137" w:name="_Toc53733118"/>
      <w:r w:rsidRPr="00877019">
        <w:rPr>
          <w:rFonts w:cstheme="minorHAnsi"/>
          <w:sz w:val="24"/>
        </w:rPr>
        <w:t>Allgemeines</w:t>
      </w:r>
      <w:bookmarkEnd w:id="137"/>
    </w:p>
    <w:p w:rsidR="00877019" w:rsidRPr="00877019" w:rsidRDefault="00877019" w:rsidP="00877019">
      <w:pPr>
        <w:pStyle w:val="AufzhlungmitPunkt"/>
        <w:rPr>
          <w:rFonts w:asciiTheme="minorHAnsi" w:hAnsiTheme="minorHAnsi" w:cstheme="minorHAnsi"/>
        </w:rPr>
      </w:pPr>
      <w:r w:rsidRPr="00877019">
        <w:rPr>
          <w:rFonts w:asciiTheme="minorHAnsi" w:hAnsiTheme="minorHAnsi" w:cstheme="minorHAnsi"/>
        </w:rPr>
        <w:t>Vertragsänderungen und -ergänzungen bedürfen der Schriftform.</w:t>
      </w:r>
    </w:p>
    <w:p w:rsidR="00877019" w:rsidRPr="00877019" w:rsidRDefault="00877019" w:rsidP="00877019">
      <w:pPr>
        <w:pStyle w:val="AufzhlungmitPunkt"/>
        <w:ind w:left="360" w:hanging="360"/>
        <w:rPr>
          <w:rFonts w:asciiTheme="minorHAnsi" w:hAnsiTheme="minorHAnsi" w:cstheme="minorHAnsi"/>
        </w:rPr>
      </w:pPr>
      <w:r w:rsidRPr="00877019">
        <w:rPr>
          <w:rFonts w:asciiTheme="minorHAnsi" w:hAnsiTheme="minorHAnsi" w:cstheme="minorHAnsi"/>
        </w:rPr>
        <w:t>Für das Vertragsverhältnis gilt deutsches Recht unter Ausschluss des Kollisionsrechtes. Gerichtsstand ist Nürnberg, Deutschland. Der Kunde ist jedoch berechtigt, den Auftragnehmer auch an einem anderen zuständigen Gericht zu verklagen.</w:t>
      </w:r>
    </w:p>
    <w:p w:rsidR="00877019" w:rsidRPr="00877019" w:rsidRDefault="00877019" w:rsidP="00877019">
      <w:pPr>
        <w:pStyle w:val="AufzhlungmitPunkt"/>
        <w:ind w:left="360" w:hanging="360"/>
        <w:rPr>
          <w:rFonts w:asciiTheme="minorHAnsi" w:hAnsiTheme="minorHAnsi" w:cstheme="minorHAnsi"/>
        </w:rPr>
      </w:pPr>
      <w:r w:rsidRPr="00877019">
        <w:rPr>
          <w:rFonts w:asciiTheme="minorHAnsi" w:hAnsiTheme="minorHAnsi" w:cstheme="minorHAnsi"/>
        </w:rPr>
        <w:t>Sollte eine vertragliche Bestimmung unwirksam sein oder werden, so wird dadurch die Gültigkeit der sonstigen Bestimmungen nicht berührt.</w:t>
      </w:r>
    </w:p>
    <w:p w:rsidR="00877019" w:rsidRPr="00877019" w:rsidRDefault="00877019" w:rsidP="00877019">
      <w:pPr>
        <w:pStyle w:val="StandardBlock"/>
        <w:rPr>
          <w:rFonts w:asciiTheme="minorHAnsi" w:hAnsiTheme="minorHAnsi" w:cstheme="minorHAnsi"/>
        </w:rPr>
      </w:pPr>
      <w:r w:rsidRPr="00877019">
        <w:rPr>
          <w:rFonts w:asciiTheme="minorHAnsi" w:hAnsiTheme="minorHAnsi" w:cstheme="minorHAnsi"/>
        </w:rPr>
        <w:t>Die Vertragsparteien sind im Rahmen der Zumutbarkeit nach Treu und Glauben verpflichtet, unwirksame Bestimmungen durch im wirtschaftlichen Ergebnis gleichkommende wirksame Regelungen zu ersetzen.</w:t>
      </w:r>
    </w:p>
    <w:p w:rsidR="0061528E" w:rsidRPr="00877019" w:rsidRDefault="0061528E" w:rsidP="00877019">
      <w:pPr>
        <w:rPr>
          <w:rFonts w:cstheme="minorHAnsi"/>
          <w:sz w:val="22"/>
          <w:lang w:val="de-DE"/>
        </w:rPr>
      </w:pPr>
    </w:p>
    <w:sectPr w:rsidR="0061528E" w:rsidRPr="00877019"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019" w:rsidRDefault="00877019" w:rsidP="00D661C2">
      <w:pPr>
        <w:spacing w:after="120"/>
      </w:pPr>
      <w:r>
        <w:separator/>
      </w:r>
    </w:p>
    <w:p w:rsidR="00877019" w:rsidRDefault="00877019" w:rsidP="00D661C2">
      <w:pPr>
        <w:spacing w:after="120"/>
      </w:pPr>
    </w:p>
  </w:endnote>
  <w:endnote w:type="continuationSeparator" w:id="0">
    <w:p w:rsidR="00877019" w:rsidRDefault="00877019" w:rsidP="00D661C2">
      <w:pPr>
        <w:spacing w:after="120"/>
      </w:pPr>
      <w:r>
        <w:continuationSeparator/>
      </w:r>
    </w:p>
    <w:p w:rsidR="00877019" w:rsidRDefault="00877019" w:rsidP="00D661C2">
      <w:pPr>
        <w:spacing w:after="120"/>
      </w:pPr>
    </w:p>
    <w:p w:rsidR="00877019" w:rsidRDefault="00877019"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B84F83" w:rsidRDefault="00B84F83">
    <w:pPr>
      <w:pStyle w:val="Fuzeile"/>
      <w:spacing w:after="120"/>
      <w:rPr>
        <w:sz w:val="19"/>
        <w:szCs w:val="19"/>
      </w:rPr>
    </w:pPr>
    <w:r w:rsidRPr="00B84F83">
      <w:rPr>
        <w:sz w:val="19"/>
        <w:szCs w:val="19"/>
      </w:rPr>
      <w:t xml:space="preserve">Qualitätssicherungsvereinbarung mit Softwarelieferanten </w:t>
    </w:r>
    <w:r w:rsidRPr="00B84F83">
      <w:rPr>
        <w:sz w:val="19"/>
        <w:szCs w:val="19"/>
      </w:rPr>
      <w:tab/>
      <w:t>Ausgabe: 2013-10-10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B84F83" w:rsidRDefault="00B84F83" w:rsidP="00B84F83">
    <w:pPr>
      <w:pStyle w:val="Fuzeile"/>
      <w:spacing w:after="120"/>
      <w:rPr>
        <w:sz w:val="19"/>
        <w:szCs w:val="19"/>
      </w:rPr>
    </w:pPr>
    <w:r w:rsidRPr="00B84F83">
      <w:rPr>
        <w:sz w:val="19"/>
        <w:szCs w:val="19"/>
      </w:rPr>
      <w:t xml:space="preserve">Qualitätssicherungsvereinbarung mit Softwarelieferanten </w:t>
    </w:r>
    <w:r w:rsidRPr="00B84F83">
      <w:rPr>
        <w:sz w:val="19"/>
        <w:szCs w:val="19"/>
      </w:rPr>
      <w:tab/>
      <w:t>Ausgabe: 2013-10-10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019" w:rsidRDefault="00877019" w:rsidP="00D661C2">
      <w:pPr>
        <w:spacing w:after="120"/>
      </w:pPr>
      <w:r>
        <w:separator/>
      </w:r>
    </w:p>
    <w:p w:rsidR="00877019" w:rsidRDefault="00877019" w:rsidP="00D661C2">
      <w:pPr>
        <w:spacing w:after="120"/>
      </w:pPr>
    </w:p>
  </w:footnote>
  <w:footnote w:type="continuationSeparator" w:id="0">
    <w:p w:rsidR="00877019" w:rsidRDefault="00877019" w:rsidP="00D661C2">
      <w:pPr>
        <w:spacing w:after="120"/>
      </w:pPr>
      <w:r>
        <w:continuationSeparator/>
      </w:r>
    </w:p>
    <w:p w:rsidR="00877019" w:rsidRDefault="00877019" w:rsidP="00D661C2">
      <w:pPr>
        <w:spacing w:after="120"/>
      </w:pPr>
    </w:p>
  </w:footnote>
  <w:footnote w:id="1">
    <w:p w:rsidR="00877019" w:rsidRDefault="00877019" w:rsidP="00877019">
      <w:pPr>
        <w:pStyle w:val="Funotentext"/>
      </w:pPr>
      <w:r>
        <w:rPr>
          <w:rStyle w:val="Funotenzeichen"/>
        </w:rPr>
        <w:footnoteRef/>
      </w:r>
      <w:r>
        <w:t xml:space="preserve"> Version V2.5 vom </w:t>
      </w:r>
      <w:r w:rsidRPr="00F42122">
        <w:t>2010-05-10</w:t>
      </w:r>
    </w:p>
  </w:footnote>
  <w:footnote w:id="2">
    <w:p w:rsidR="00877019" w:rsidRDefault="00877019" w:rsidP="00877019">
      <w:pPr>
        <w:pStyle w:val="Funotentext"/>
      </w:pPr>
      <w:r>
        <w:rPr>
          <w:rStyle w:val="Funotenzeichen"/>
        </w:rPr>
        <w:footnoteRef/>
      </w:r>
      <w:r>
        <w:t xml:space="preserve"> First Edition, 2006-03-01</w:t>
      </w:r>
    </w:p>
  </w:footnote>
  <w:footnote w:id="3">
    <w:p w:rsidR="00877019" w:rsidRDefault="00877019" w:rsidP="00877019">
      <w:pPr>
        <w:pStyle w:val="Funotentext"/>
      </w:pPr>
      <w:r>
        <w:rPr>
          <w:rStyle w:val="Funotenzeichen"/>
        </w:rPr>
        <w:footnoteRef/>
      </w:r>
      <w:r>
        <w:t xml:space="preserve"> nur relevant, falls Unterlieferanten eingesetzt werden</w:t>
      </w:r>
    </w:p>
    <w:p w:rsidR="00877019" w:rsidRDefault="00877019" w:rsidP="00877019">
      <w:pPr>
        <w:pStyle w:val="Funotentext"/>
      </w:pPr>
      <w:r>
        <w:t>* nur relevant, falls die Software als Bestandteil eines Systems / einer Komponente entwickelt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138" w:name="mioPage1"/>
          <w:r>
            <w:t>Seite</w:t>
          </w:r>
          <w:bookmarkEnd w:id="138"/>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139" w:name="mioPageOf"/>
          <w:r>
            <w:t>von</w:t>
          </w:r>
          <w:bookmarkEnd w:id="139"/>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B84F83">
    <w:pPr>
      <w:pStyle w:val="Kopfzeile"/>
      <w:spacing w:before="240" w:after="60"/>
      <w:jc w:val="right"/>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40" w:name="_Hlk525026156"/>
  <w:bookmarkStart w:id="141" w:name="_Hlk525026157"/>
  <w:bookmarkStart w:id="142" w:name="_Hlk525026301"/>
  <w:bookmarkStart w:id="143" w:name="_Hlk525026302"/>
  <w:bookmarkStart w:id="144" w:name="_Hlk525026309"/>
  <w:bookmarkStart w:id="145" w:name="_Hlk525026310"/>
  <w:bookmarkStart w:id="146" w:name="_Hlk525026395"/>
  <w:bookmarkStart w:id="147" w:name="_Hlk525026396"/>
  <w:bookmarkStart w:id="148" w:name="_Hlk525026462"/>
  <w:bookmarkStart w:id="149" w:name="_Hlk525026463"/>
  <w:bookmarkStart w:id="150" w:name="_Hlk525026492"/>
  <w:bookmarkStart w:id="151" w:name="_Hlk525026493"/>
  <w:bookmarkStart w:id="152" w:name="_Hlk525026714"/>
  <w:bookmarkStart w:id="153" w:name="_Hlk525026715"/>
  <w:bookmarkStart w:id="154" w:name="_Hlk525026792"/>
  <w:bookmarkStart w:id="155" w:name="_Hlk525026793"/>
  <w:p w:rsidR="00173884" w:rsidRPr="00B84F83" w:rsidRDefault="00437E62" w:rsidP="00B84F83">
    <w:pPr>
      <w:pStyle w:val="Kopfzeile"/>
      <w:spacing w:before="240" w:after="60"/>
      <w:jc w:val="right"/>
      <w:rPr>
        <w:sz w:val="19"/>
        <w:szCs w:val="19"/>
      </w:rPr>
    </w:pPr>
    <w:r w:rsidRPr="00B84F83">
      <w:rPr>
        <w:noProof/>
        <w:sz w:val="19"/>
        <w:szCs w:val="19"/>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88C6B"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7"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8"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59886D51"/>
    <w:multiLevelType w:val="hybridMultilevel"/>
    <w:tmpl w:val="3BC0B93E"/>
    <w:lvl w:ilvl="0" w:tplc="EC66903A">
      <w:start w:val="1"/>
      <w:numFmt w:val="bullet"/>
      <w:pStyle w:val="AufzhlungmitPunkt"/>
      <w:lvlText w:val=""/>
      <w:lvlJc w:val="left"/>
      <w:pPr>
        <w:tabs>
          <w:tab w:val="num" w:pos="357"/>
        </w:tabs>
        <w:ind w:left="0" w:firstLine="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F308D4"/>
    <w:multiLevelType w:val="multilevel"/>
    <w:tmpl w:val="FDFA02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5D4110"/>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540"/>
        </w:tabs>
        <w:ind w:left="18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num>
  <w:num w:numId="8">
    <w:abstractNumId w:val="6"/>
  </w:num>
  <w:num w:numId="9">
    <w:abstractNumId w:val="6"/>
  </w:num>
  <w:num w:numId="10">
    <w:abstractNumId w:val="6"/>
  </w:num>
  <w:num w:numId="11">
    <w:abstractNumId w:val="7"/>
  </w:num>
  <w:num w:numId="12">
    <w:abstractNumId w:val="7"/>
  </w:num>
  <w:num w:numId="13">
    <w:abstractNumId w:val="7"/>
  </w:num>
  <w:num w:numId="14">
    <w:abstractNumId w:val="5"/>
  </w:num>
  <w:num w:numId="15">
    <w:abstractNumId w:val="5"/>
  </w:num>
  <w:num w:numId="16">
    <w:abstractNumId w:val="5"/>
  </w:num>
  <w:num w:numId="17">
    <w:abstractNumId w:val="5"/>
  </w:num>
  <w:num w:numId="18">
    <w:abstractNumId w:val="5"/>
  </w:num>
  <w:num w:numId="19">
    <w:abstractNumId w:val="8"/>
  </w:num>
  <w:num w:numId="20">
    <w:abstractNumId w:val="8"/>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6"/>
  </w:num>
  <w:num w:numId="27">
    <w:abstractNumId w:val="6"/>
  </w:num>
  <w:num w:numId="28">
    <w:abstractNumId w:val="6"/>
  </w:num>
  <w:num w:numId="29">
    <w:abstractNumId w:val="6"/>
  </w:num>
  <w:num w:numId="30">
    <w:abstractNumId w:val="6"/>
  </w:num>
  <w:num w:numId="31">
    <w:abstractNumId w:val="7"/>
  </w:num>
  <w:num w:numId="32">
    <w:abstractNumId w:val="7"/>
  </w:num>
  <w:num w:numId="33">
    <w:abstractNumId w:val="7"/>
  </w:num>
  <w:num w:numId="34">
    <w:abstractNumId w:val="8"/>
  </w:num>
  <w:num w:numId="35">
    <w:abstractNumId w:val="8"/>
  </w:num>
  <w:num w:numId="36">
    <w:abstractNumId w:val="8"/>
  </w:num>
  <w:num w:numId="37">
    <w:abstractNumId w:val="11"/>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cq2++1uPKtbSN8g2mkUeOdiXRhPGgIxR4mKWjaOoVnuBgJdpzVbqlpNq0DNjk5kSA5T3GzXbeNdXmotzWzd4vg==" w:salt="l4YPy/2KEyBVwODLtsT+xg=="/>
  <w:defaultTabStop w:val="708"/>
  <w:autoHyphenation/>
  <w:hyphenationZone w:val="425"/>
  <w:defaultTableStyle w:val="Schaeffler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15854"/>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5FA0"/>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3D92"/>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77019"/>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84F83"/>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qFormat/>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qFormat/>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qFormat/>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qFormat/>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qFormat/>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qFormat/>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qFormat/>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qFormat/>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qFormat/>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877019"/>
    <w:pPr>
      <w:tabs>
        <w:tab w:val="left" w:pos="2552"/>
        <w:tab w:val="left" w:pos="4536"/>
        <w:tab w:val="left" w:pos="6804"/>
      </w:tabs>
      <w:spacing w:before="120" w:after="60" w:line="240" w:lineRule="auto"/>
      <w:jc w:val="both"/>
    </w:pPr>
    <w:rPr>
      <w:rFonts w:ascii="Arial" w:eastAsia="Times New Roman" w:hAnsi="Arial" w:cs="Times New Roman"/>
      <w:color w:val="auto"/>
      <w:sz w:val="22"/>
      <w:szCs w:val="20"/>
      <w:lang w:val="de-DE" w:eastAsia="de-DE"/>
    </w:rPr>
  </w:style>
  <w:style w:type="paragraph" w:customStyle="1" w:styleId="StandardZentriert">
    <w:name w:val="Standard + Zentriert"/>
    <w:basedOn w:val="Standard"/>
    <w:next w:val="Standard"/>
    <w:rsid w:val="00877019"/>
    <w:pPr>
      <w:tabs>
        <w:tab w:val="left" w:pos="2552"/>
        <w:tab w:val="left" w:pos="4536"/>
        <w:tab w:val="left" w:pos="6804"/>
      </w:tabs>
      <w:spacing w:line="240" w:lineRule="auto"/>
      <w:jc w:val="center"/>
    </w:pPr>
    <w:rPr>
      <w:rFonts w:ascii="Arial" w:eastAsia="Times New Roman" w:hAnsi="Arial" w:cs="Times New Roman"/>
      <w:color w:val="auto"/>
      <w:sz w:val="22"/>
      <w:szCs w:val="20"/>
      <w:lang w:val="de-DE" w:eastAsia="de-DE"/>
    </w:rPr>
  </w:style>
  <w:style w:type="character" w:customStyle="1" w:styleId="StandardBlockZchn">
    <w:name w:val="Standard Block Zchn"/>
    <w:link w:val="StandardBlock"/>
    <w:rsid w:val="00877019"/>
    <w:rPr>
      <w:rFonts w:ascii="Arial" w:eastAsia="Times New Roman" w:hAnsi="Arial" w:cs="Times New Roman"/>
      <w:szCs w:val="20"/>
      <w:lang w:val="de-DE" w:eastAsia="de-DE"/>
    </w:rPr>
  </w:style>
  <w:style w:type="paragraph" w:styleId="Verzeichnis1">
    <w:name w:val="toc 1"/>
    <w:basedOn w:val="Standard"/>
    <w:next w:val="Standard"/>
    <w:autoRedefine/>
    <w:uiPriority w:val="39"/>
    <w:rsid w:val="00877019"/>
    <w:pPr>
      <w:tabs>
        <w:tab w:val="left" w:pos="709"/>
        <w:tab w:val="right" w:pos="9923"/>
        <w:tab w:val="right" w:leader="dot" w:pos="10195"/>
      </w:tabs>
      <w:spacing w:before="240" w:after="120" w:line="240" w:lineRule="auto"/>
    </w:pPr>
    <w:rPr>
      <w:rFonts w:ascii="Arial" w:eastAsia="Times New Roman" w:hAnsi="Arial" w:cs="Times New Roman"/>
      <w:b/>
      <w:noProof/>
      <w:color w:val="auto"/>
      <w:sz w:val="22"/>
      <w:szCs w:val="24"/>
      <w:lang w:val="de-DE" w:eastAsia="de-DE"/>
    </w:rPr>
  </w:style>
  <w:style w:type="paragraph" w:styleId="Verzeichnis2">
    <w:name w:val="toc 2"/>
    <w:basedOn w:val="Standard"/>
    <w:next w:val="Standard"/>
    <w:autoRedefine/>
    <w:uiPriority w:val="39"/>
    <w:rsid w:val="00877019"/>
    <w:pPr>
      <w:tabs>
        <w:tab w:val="left" w:pos="720"/>
        <w:tab w:val="right" w:leader="dot" w:pos="9911"/>
      </w:tabs>
      <w:spacing w:after="60" w:line="240" w:lineRule="auto"/>
      <w:ind w:left="709" w:hanging="709"/>
    </w:pPr>
    <w:rPr>
      <w:rFonts w:ascii="Arial" w:eastAsia="Times New Roman" w:hAnsi="Arial" w:cs="Times New Roman"/>
      <w:noProof/>
      <w:color w:val="auto"/>
      <w:sz w:val="22"/>
      <w:szCs w:val="20"/>
      <w:lang w:val="de-DE" w:eastAsia="de-DE"/>
    </w:rPr>
  </w:style>
  <w:style w:type="paragraph" w:customStyle="1" w:styleId="AufzhlungmitPunkt">
    <w:name w:val="Aufzählung mit Punkt"/>
    <w:basedOn w:val="StandardBlock"/>
    <w:rsid w:val="00877019"/>
    <w:pPr>
      <w:numPr>
        <w:numId w:val="39"/>
      </w:numPr>
      <w:spacing w:before="40" w:after="0"/>
    </w:pPr>
    <w:rPr>
      <w:color w:val="000000"/>
      <w:szCs w:val="22"/>
    </w:rPr>
  </w:style>
  <w:style w:type="paragraph" w:styleId="Funotentext">
    <w:name w:val="footnote text"/>
    <w:basedOn w:val="Standard"/>
    <w:link w:val="FunotentextZchn"/>
    <w:rsid w:val="00877019"/>
    <w:pPr>
      <w:tabs>
        <w:tab w:val="left" w:pos="2552"/>
        <w:tab w:val="left" w:pos="4536"/>
        <w:tab w:val="left" w:pos="6804"/>
      </w:tabs>
      <w:spacing w:line="240" w:lineRule="auto"/>
    </w:pPr>
    <w:rPr>
      <w:rFonts w:ascii="Arial" w:eastAsia="Times New Roman" w:hAnsi="Arial" w:cs="Times New Roman"/>
      <w:color w:val="auto"/>
      <w:sz w:val="20"/>
      <w:szCs w:val="20"/>
      <w:lang w:val="de-DE" w:eastAsia="de-DE"/>
    </w:rPr>
  </w:style>
  <w:style w:type="character" w:customStyle="1" w:styleId="FunotentextZchn">
    <w:name w:val="Fußnotentext Zchn"/>
    <w:basedOn w:val="Absatz-Standardschriftart"/>
    <w:link w:val="Funotentext"/>
    <w:rsid w:val="00877019"/>
    <w:rPr>
      <w:rFonts w:ascii="Arial" w:eastAsia="Times New Roman" w:hAnsi="Arial" w:cs="Times New Roman"/>
      <w:sz w:val="20"/>
      <w:szCs w:val="20"/>
      <w:lang w:val="de-DE" w:eastAsia="de-DE"/>
    </w:rPr>
  </w:style>
  <w:style w:type="character" w:styleId="Funotenzeichen">
    <w:name w:val="footnote reference"/>
    <w:rsid w:val="00877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2126-3151-4FCA-A129-FD6465FA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7901</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6</cp:revision>
  <cp:lastPrinted>2018-08-01T09:09:00Z</cp:lastPrinted>
  <dcterms:created xsi:type="dcterms:W3CDTF">2020-10-16T07:13:00Z</dcterms:created>
  <dcterms:modified xsi:type="dcterms:W3CDTF">2020-11-05T10:08:00Z</dcterms:modified>
</cp:coreProperties>
</file>